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A9125" w14:textId="77777777" w:rsidR="00B4321C" w:rsidRPr="00B4321C" w:rsidRDefault="00B4321C" w:rsidP="000F4447">
      <w:pPr>
        <w:jc w:val="center"/>
        <w:rPr>
          <w:b/>
          <w:sz w:val="36"/>
          <w:szCs w:val="36"/>
        </w:rPr>
      </w:pPr>
      <w:r w:rsidRPr="00B4321C">
        <w:rPr>
          <w:b/>
          <w:sz w:val="36"/>
          <w:szCs w:val="36"/>
        </w:rPr>
        <w:t>MESA Neighborhood Study</w:t>
      </w:r>
      <w:r w:rsidR="008708EF">
        <w:rPr>
          <w:b/>
          <w:sz w:val="36"/>
          <w:szCs w:val="36"/>
        </w:rPr>
        <w:t xml:space="preserve"> (Ancillary Study </w:t>
      </w:r>
      <w:r w:rsidR="00EE6C4A">
        <w:rPr>
          <w:b/>
          <w:sz w:val="36"/>
          <w:szCs w:val="36"/>
        </w:rPr>
        <w:t>AS023</w:t>
      </w:r>
      <w:r w:rsidR="008708EF">
        <w:rPr>
          <w:b/>
          <w:sz w:val="36"/>
          <w:szCs w:val="36"/>
        </w:rPr>
        <w:t>)</w:t>
      </w:r>
    </w:p>
    <w:p w14:paraId="3D1EF249" w14:textId="77777777" w:rsidR="000F4447" w:rsidRDefault="00B4321C" w:rsidP="000F4447">
      <w:pPr>
        <w:jc w:val="center"/>
        <w:rPr>
          <w:b/>
          <w:sz w:val="36"/>
          <w:szCs w:val="36"/>
        </w:rPr>
      </w:pPr>
      <w:r w:rsidRPr="00B4321C">
        <w:rPr>
          <w:b/>
          <w:sz w:val="36"/>
          <w:szCs w:val="36"/>
        </w:rPr>
        <w:t>Racial Segregation</w:t>
      </w:r>
      <w:r w:rsidR="000F4447" w:rsidRPr="00B4321C">
        <w:rPr>
          <w:b/>
          <w:sz w:val="36"/>
          <w:szCs w:val="36"/>
        </w:rPr>
        <w:t xml:space="preserve"> </w:t>
      </w:r>
      <w:proofErr w:type="spellStart"/>
      <w:r w:rsidR="000F4447" w:rsidRPr="00B4321C">
        <w:rPr>
          <w:b/>
          <w:sz w:val="36"/>
          <w:szCs w:val="36"/>
        </w:rPr>
        <w:t>G</w:t>
      </w:r>
      <w:r w:rsidR="000F4447" w:rsidRPr="00B4321C">
        <w:rPr>
          <w:b/>
          <w:sz w:val="36"/>
          <w:szCs w:val="36"/>
          <w:vertAlign w:val="subscript"/>
        </w:rPr>
        <w:t>i</w:t>
      </w:r>
      <w:proofErr w:type="spellEnd"/>
      <w:r w:rsidR="000F4447" w:rsidRPr="00B4321C">
        <w:rPr>
          <w:b/>
          <w:sz w:val="36"/>
          <w:szCs w:val="36"/>
        </w:rPr>
        <w:t>* statistics</w:t>
      </w:r>
    </w:p>
    <w:p w14:paraId="6741BD0C" w14:textId="77777777" w:rsidR="00AD4FE0" w:rsidRDefault="00AD4FE0" w:rsidP="00AD4FE0">
      <w:pPr>
        <w:autoSpaceDE w:val="0"/>
        <w:autoSpaceDN w:val="0"/>
        <w:adjustRightInd w:val="0"/>
        <w:spacing w:after="0" w:line="240" w:lineRule="auto"/>
        <w:rPr>
          <w:rFonts w:cs="SAS Monospace"/>
        </w:rPr>
      </w:pPr>
    </w:p>
    <w:p w14:paraId="5FFE7017" w14:textId="77777777" w:rsidR="005D54B5" w:rsidRPr="00E80312" w:rsidRDefault="005D54B5" w:rsidP="00E80312">
      <w:r w:rsidRPr="00E80312">
        <w:t xml:space="preserve">Please acknowledge the following grant in manuscripts and abstracts: </w:t>
      </w:r>
      <w:r w:rsidR="00E80312" w:rsidRPr="00E80312">
        <w:t>R01 HL071759 (Diez Roux)</w:t>
      </w:r>
    </w:p>
    <w:p w14:paraId="3F1F106D" w14:textId="77777777" w:rsidR="008F3C5D" w:rsidRDefault="008F3C5D" w:rsidP="00E80312">
      <w:pPr>
        <w:rPr>
          <w:rFonts w:cs="Times New Roman"/>
        </w:rPr>
      </w:pPr>
      <w:r>
        <w:rPr>
          <w:rFonts w:cs="Times New Roman"/>
        </w:rPr>
        <w:t>Please include an acknowledgement:</w:t>
      </w:r>
    </w:p>
    <w:p w14:paraId="25C5F8EB" w14:textId="77777777" w:rsidR="00E80312" w:rsidRPr="00E80312" w:rsidRDefault="00E80312" w:rsidP="00E80312">
      <w:r w:rsidRPr="00E80312">
        <w:rPr>
          <w:rFonts w:cs="Times New Roman"/>
        </w:rPr>
        <w:t>We thank Paulina Kaiser</w:t>
      </w:r>
      <w:r>
        <w:rPr>
          <w:rFonts w:cs="Times New Roman"/>
        </w:rPr>
        <w:t xml:space="preserve"> </w:t>
      </w:r>
      <w:r w:rsidRPr="00E80312">
        <w:rPr>
          <w:rFonts w:cs="Times New Roman"/>
        </w:rPr>
        <w:t xml:space="preserve">for </w:t>
      </w:r>
      <w:r>
        <w:rPr>
          <w:rFonts w:cs="Times New Roman"/>
        </w:rPr>
        <w:t>her</w:t>
      </w:r>
      <w:r w:rsidRPr="00E80312">
        <w:rPr>
          <w:rFonts w:cs="Times New Roman"/>
        </w:rPr>
        <w:t xml:space="preserve"> contributions to </w:t>
      </w:r>
      <w:r>
        <w:rPr>
          <w:rFonts w:cs="Times New Roman"/>
        </w:rPr>
        <w:t>creating the racial segregation measures</w:t>
      </w:r>
      <w:r w:rsidRPr="00E80312">
        <w:rPr>
          <w:rFonts w:cs="Times New Roman"/>
        </w:rPr>
        <w:t>.</w:t>
      </w:r>
    </w:p>
    <w:p w14:paraId="36EB289D" w14:textId="77777777" w:rsidR="008708EF" w:rsidRDefault="00E208FE" w:rsidP="008708EF">
      <w:pPr>
        <w:pStyle w:val="Heading1"/>
      </w:pPr>
      <w:r>
        <w:t>Overview</w:t>
      </w:r>
      <w:r w:rsidR="008708EF">
        <w:t>:</w:t>
      </w:r>
    </w:p>
    <w:p w14:paraId="7681CF52" w14:textId="77777777" w:rsidR="00017592" w:rsidRDefault="005D54B5" w:rsidP="008708EF">
      <w:r>
        <w:t xml:space="preserve">Neighborhood racial segregation was calculated as the </w:t>
      </w:r>
      <w:proofErr w:type="spellStart"/>
      <w:r w:rsidR="00F97A64">
        <w:t>Getis-Ord</w:t>
      </w:r>
      <w:proofErr w:type="spellEnd"/>
      <w:r w:rsidR="00F97A64">
        <w:t xml:space="preserve"> </w:t>
      </w:r>
      <w:proofErr w:type="spellStart"/>
      <w:r w:rsidR="00F97A64">
        <w:t>G</w:t>
      </w:r>
      <w:r w:rsidR="00F97A64" w:rsidRPr="00127188">
        <w:rPr>
          <w:vertAlign w:val="subscript"/>
        </w:rPr>
        <w:t>i</w:t>
      </w:r>
      <w:proofErr w:type="spellEnd"/>
      <w:r w:rsidR="00F97A64">
        <w:t>* statistic.  These measures are calculated for segregation for % non-Hispanic Black, % Hispanic, % non-Hispanic Asian, and % non-Hispanic White within census tracts.</w:t>
      </w:r>
      <w:r w:rsidR="00997AE0">
        <w:t xml:space="preserve"> Tracts to include in each site were chosen to match the tracts that were used for calculating the built environment variables, which include the counties surrounding the MESA site and are intended to capture MESA participants at baseline and the majority of MESA participants who move within the site over time (see details section for further information on the counties selected).</w:t>
      </w:r>
    </w:p>
    <w:p w14:paraId="6CFB7725" w14:textId="77777777" w:rsidR="00997AE0" w:rsidRPr="00997AE0" w:rsidRDefault="00997AE0" w:rsidP="008708EF">
      <w:pPr>
        <w:rPr>
          <w:b/>
        </w:rPr>
      </w:pPr>
      <w:r>
        <w:t xml:space="preserve">The </w:t>
      </w:r>
      <w:proofErr w:type="spellStart"/>
      <w:r>
        <w:t>G</w:t>
      </w:r>
      <w:r w:rsidRPr="00127188">
        <w:rPr>
          <w:vertAlign w:val="subscript"/>
        </w:rPr>
        <w:t>i</w:t>
      </w:r>
      <w:proofErr w:type="spellEnd"/>
      <w:r>
        <w:t xml:space="preserve">* statistics were calculated for various spatial definitions of neighbors: Rook, 1-mile, 2-mile, and 1-mile inverse </w:t>
      </w:r>
      <w:r w:rsidR="00986534">
        <w:t>weights.</w:t>
      </w:r>
    </w:p>
    <w:p w14:paraId="0616B81D" w14:textId="4CC133AA" w:rsidR="009A69AA" w:rsidRDefault="00017592" w:rsidP="008708EF">
      <w:r>
        <w:t>T</w:t>
      </w:r>
      <w:r w:rsidR="00F97A64">
        <w:t>ime-varying measures were created using data from the US Census 2000, American Community Survey 2005-2009, and American Community Survey 20</w:t>
      </w:r>
      <w:r>
        <w:t>0</w:t>
      </w:r>
      <w:r w:rsidR="00F97A64">
        <w:t>7-2011.</w:t>
      </w:r>
      <w:r w:rsidR="00997AE0">
        <w:t xml:space="preserve"> The measures were applied to the MESA Exams based on calendar years</w:t>
      </w:r>
      <w:r w:rsidR="00E41538" w:rsidRPr="00E41538">
        <w:t xml:space="preserve"> </w:t>
      </w:r>
      <w:r w:rsidR="00E41538">
        <w:t>and linked to the census tract of residence</w:t>
      </w:r>
      <w:bookmarkStart w:id="0" w:name="_GoBack"/>
      <w:bookmarkEnd w:id="0"/>
      <w:r w:rsidR="00997AE0">
        <w:t>.</w:t>
      </w:r>
    </w:p>
    <w:p w14:paraId="30A1D2C7" w14:textId="201AB6EF" w:rsidR="00997AE0" w:rsidRDefault="00997AE0" w:rsidP="00997AE0">
      <w:pPr>
        <w:ind w:firstLine="720"/>
      </w:pPr>
      <w:r>
        <w:t>Years 2000-2004 = Census 2000 data</w:t>
      </w:r>
      <w:r w:rsidR="00484268">
        <w:t xml:space="preserve"> (Exams 1 and 2, part of Exam 3)</w:t>
      </w:r>
    </w:p>
    <w:p w14:paraId="4B1FF682" w14:textId="3BE8B21C" w:rsidR="00997AE0" w:rsidRDefault="00997AE0" w:rsidP="00997AE0">
      <w:pPr>
        <w:ind w:firstLine="720"/>
      </w:pPr>
      <w:r>
        <w:t>Years 2005-2007 = ACS 2005-2009</w:t>
      </w:r>
      <w:r w:rsidR="00484268">
        <w:t xml:space="preserve"> (Part of Exam 3, Exam 4)</w:t>
      </w:r>
    </w:p>
    <w:p w14:paraId="2440A761" w14:textId="6905BA5B" w:rsidR="00997AE0" w:rsidRDefault="00997AE0" w:rsidP="00997AE0">
      <w:pPr>
        <w:ind w:firstLine="720"/>
      </w:pPr>
      <w:r>
        <w:t>Years 2008-2012 = ACS 2007-2011</w:t>
      </w:r>
      <w:r w:rsidR="00484268">
        <w:t xml:space="preserve"> (Exam 5)</w:t>
      </w:r>
    </w:p>
    <w:p w14:paraId="5F61F905" w14:textId="77777777" w:rsidR="005D54B5" w:rsidRDefault="005D54B5" w:rsidP="005D54B5">
      <w:pPr>
        <w:pStyle w:val="Heading1"/>
      </w:pPr>
      <w:r>
        <w:t>Recommendations:</w:t>
      </w:r>
    </w:p>
    <w:p w14:paraId="4C9B2B47" w14:textId="77777777" w:rsidR="005D54B5" w:rsidRDefault="00997AE0" w:rsidP="008708EF">
      <w:r>
        <w:t xml:space="preserve">For most analyses, </w:t>
      </w:r>
      <w:r w:rsidR="00986534">
        <w:t xml:space="preserve">interest has been in using racial segregation based on the participant’s own race group segregation.  These measures have been created and are included in the dataset. It is recommended to use the measures based on either the rook or 1 mile definitions.  The advantage of the rook definition is that the measures for all tracts will be based on at least one other neighboring tract.  This may also standardize for differences in the relative sizes of tracts across the MESA study sites.  The 1 mile definition ensures that the measure is always based on the same distance regardless of the size of the tract.  The disadvantage is that if the tracts are large, then the </w:t>
      </w:r>
      <w:proofErr w:type="spellStart"/>
      <w:r w:rsidR="00986534">
        <w:t>G</w:t>
      </w:r>
      <w:r w:rsidR="00986534" w:rsidRPr="00127188">
        <w:rPr>
          <w:vertAlign w:val="subscript"/>
        </w:rPr>
        <w:t>i</w:t>
      </w:r>
      <w:proofErr w:type="spellEnd"/>
      <w:r w:rsidR="00986534" w:rsidRPr="00986534">
        <w:t xml:space="preserve"> </w:t>
      </w:r>
      <w:r w:rsidR="00986534">
        <w:t>statistic is only based on the percent race within that tract, standardized to the total race distribution of the metro area.</w:t>
      </w:r>
    </w:p>
    <w:p w14:paraId="77D8234C" w14:textId="77777777" w:rsidR="00986534" w:rsidRDefault="00986534" w:rsidP="00986534">
      <w:pPr>
        <w:pStyle w:val="Caption"/>
      </w:pPr>
      <w:r>
        <w:lastRenderedPageBreak/>
        <w:t>Table 1: Recommended variables</w:t>
      </w:r>
    </w:p>
    <w:tbl>
      <w:tblPr>
        <w:tblStyle w:val="TableGrid"/>
        <w:tblW w:w="6750" w:type="dxa"/>
        <w:tblInd w:w="18" w:type="dxa"/>
        <w:tblLayout w:type="fixed"/>
        <w:tblLook w:val="04A0" w:firstRow="1" w:lastRow="0" w:firstColumn="1" w:lastColumn="0" w:noHBand="0" w:noVBand="1"/>
      </w:tblPr>
      <w:tblGrid>
        <w:gridCol w:w="1530"/>
        <w:gridCol w:w="5220"/>
      </w:tblGrid>
      <w:tr w:rsidR="00997AE0" w:rsidRPr="003A3BF5" w14:paraId="5AD51CAE" w14:textId="77777777" w:rsidTr="00CD21FD">
        <w:trPr>
          <w:tblHeader/>
        </w:trPr>
        <w:tc>
          <w:tcPr>
            <w:tcW w:w="1530" w:type="dxa"/>
          </w:tcPr>
          <w:p w14:paraId="39CF1904" w14:textId="77777777" w:rsidR="00997AE0" w:rsidRPr="003A3BF5" w:rsidRDefault="00997AE0" w:rsidP="0038426C">
            <w:pPr>
              <w:rPr>
                <w:rFonts w:cs="Arial"/>
                <w:sz w:val="20"/>
                <w:szCs w:val="20"/>
              </w:rPr>
            </w:pPr>
            <w:proofErr w:type="spellStart"/>
            <w:r w:rsidRPr="003A3BF5">
              <w:rPr>
                <w:rFonts w:cs="Arial"/>
                <w:sz w:val="20"/>
                <w:szCs w:val="20"/>
              </w:rPr>
              <w:t>G_rk</w:t>
            </w:r>
            <w:proofErr w:type="spellEnd"/>
          </w:p>
        </w:tc>
        <w:tc>
          <w:tcPr>
            <w:tcW w:w="5220" w:type="dxa"/>
          </w:tcPr>
          <w:p w14:paraId="58FF7269" w14:textId="77777777" w:rsidR="00997AE0" w:rsidRPr="003A3BF5" w:rsidRDefault="00997AE0" w:rsidP="0038426C">
            <w:pPr>
              <w:rPr>
                <w:rFonts w:cstheme="minorHAnsi"/>
                <w:sz w:val="20"/>
                <w:szCs w:val="20"/>
              </w:rPr>
            </w:pPr>
            <w:r w:rsidRPr="003A3BF5">
              <w:rPr>
                <w:rFonts w:cstheme="minorHAnsi"/>
                <w:sz w:val="20"/>
                <w:szCs w:val="20"/>
              </w:rPr>
              <w:t>G statistic for own race, using rook definition of neighbors</w:t>
            </w:r>
          </w:p>
        </w:tc>
      </w:tr>
      <w:tr w:rsidR="00997AE0" w:rsidRPr="003A3BF5" w14:paraId="4033192F" w14:textId="77777777" w:rsidTr="00CD21FD">
        <w:trPr>
          <w:tblHeader/>
        </w:trPr>
        <w:tc>
          <w:tcPr>
            <w:tcW w:w="1530" w:type="dxa"/>
          </w:tcPr>
          <w:p w14:paraId="3CBA26B0" w14:textId="77777777" w:rsidR="00997AE0" w:rsidRPr="003A3BF5" w:rsidRDefault="00997AE0" w:rsidP="0038426C">
            <w:pPr>
              <w:rPr>
                <w:rFonts w:cs="Arial"/>
                <w:sz w:val="20"/>
                <w:szCs w:val="20"/>
              </w:rPr>
            </w:pPr>
            <w:r w:rsidRPr="003A3BF5">
              <w:rPr>
                <w:rFonts w:cs="Arial"/>
                <w:sz w:val="20"/>
                <w:szCs w:val="20"/>
              </w:rPr>
              <w:t>G_1mi</w:t>
            </w:r>
          </w:p>
        </w:tc>
        <w:tc>
          <w:tcPr>
            <w:tcW w:w="5220" w:type="dxa"/>
          </w:tcPr>
          <w:p w14:paraId="4C6B01DB" w14:textId="77777777" w:rsidR="00997AE0" w:rsidRPr="003A3BF5" w:rsidRDefault="00997AE0" w:rsidP="0038426C">
            <w:pPr>
              <w:rPr>
                <w:rFonts w:cstheme="minorHAnsi"/>
                <w:sz w:val="20"/>
                <w:szCs w:val="20"/>
              </w:rPr>
            </w:pPr>
            <w:r w:rsidRPr="003A3BF5">
              <w:rPr>
                <w:rFonts w:cstheme="minorHAnsi"/>
                <w:sz w:val="20"/>
                <w:szCs w:val="20"/>
              </w:rPr>
              <w:t>G statistic for own race, using 1-mile definition of neighbors</w:t>
            </w:r>
          </w:p>
        </w:tc>
      </w:tr>
    </w:tbl>
    <w:p w14:paraId="0359E5C3" w14:textId="77777777" w:rsidR="00997AE0" w:rsidRDefault="00997AE0" w:rsidP="008708EF"/>
    <w:p w14:paraId="2AD01A78" w14:textId="77777777" w:rsidR="00D42079" w:rsidRDefault="00D42079" w:rsidP="008708EF">
      <w:r>
        <w:t xml:space="preserve">Since the </w:t>
      </w:r>
      <w:proofErr w:type="spellStart"/>
      <w:r>
        <w:t>G</w:t>
      </w:r>
      <w:r w:rsidRPr="00127188">
        <w:rPr>
          <w:vertAlign w:val="subscript"/>
        </w:rPr>
        <w:t>i</w:t>
      </w:r>
      <w:proofErr w:type="spellEnd"/>
      <w:r w:rsidRPr="00986534">
        <w:t xml:space="preserve"> </w:t>
      </w:r>
      <w:r>
        <w:t>statistic is a z-score, meaningful categories can be created based on statistical significance:</w:t>
      </w:r>
    </w:p>
    <w:p w14:paraId="0C944304" w14:textId="77777777" w:rsidR="00D42079" w:rsidRDefault="00D42079" w:rsidP="00D42079">
      <w:pPr>
        <w:ind w:firstLine="720"/>
      </w:pPr>
      <w:r>
        <w:t xml:space="preserve">&lt;-1.96 = </w:t>
      </w:r>
      <w:proofErr w:type="gramStart"/>
      <w:r>
        <w:t>Statistically</w:t>
      </w:r>
      <w:proofErr w:type="gramEnd"/>
      <w:r>
        <w:t xml:space="preserve"> significant low clustering</w:t>
      </w:r>
    </w:p>
    <w:p w14:paraId="2EDBA6A1" w14:textId="77777777" w:rsidR="00D42079" w:rsidRDefault="00D42079" w:rsidP="00D42079">
      <w:pPr>
        <w:ind w:firstLine="720"/>
      </w:pPr>
      <w:r>
        <w:t>-1.96-1.96 = No clustering</w:t>
      </w:r>
    </w:p>
    <w:p w14:paraId="3B942E7A" w14:textId="77777777" w:rsidR="00D42079" w:rsidRDefault="00D42079" w:rsidP="00D42079">
      <w:pPr>
        <w:ind w:firstLine="720"/>
      </w:pPr>
      <w:r>
        <w:t xml:space="preserve">&gt;1.96 = </w:t>
      </w:r>
      <w:proofErr w:type="gramStart"/>
      <w:r>
        <w:t>Statistically</w:t>
      </w:r>
      <w:proofErr w:type="gramEnd"/>
      <w:r>
        <w:t xml:space="preserve"> significant high clustering</w:t>
      </w:r>
    </w:p>
    <w:p w14:paraId="3EC7DCCE" w14:textId="77777777" w:rsidR="00D42079" w:rsidRDefault="00D42079" w:rsidP="00D42079">
      <w:r>
        <w:t>In many cases, for the low clustering (&lt;-1.96), this yields very low sample size.  A low cut-point of &gt;0 has been used in manuscripts.</w:t>
      </w:r>
    </w:p>
    <w:p w14:paraId="146EA68D" w14:textId="77777777" w:rsidR="00D42079" w:rsidRDefault="00D42079" w:rsidP="00D42079">
      <w:pPr>
        <w:pStyle w:val="Heading1"/>
      </w:pPr>
      <w:r>
        <w:t>Example Methodology Section for Manuscripts:</w:t>
      </w:r>
    </w:p>
    <w:p w14:paraId="73F82F49" w14:textId="51A56475" w:rsidR="00D42079" w:rsidRDefault="00D42079" w:rsidP="00D42079">
      <w:r>
        <w:t xml:space="preserve">Neighborhood-level racial/ethnic residential segregation was measured separately for blacks, whites, and Hispanics by using the local </w:t>
      </w:r>
      <w:proofErr w:type="spellStart"/>
      <w:r>
        <w:rPr>
          <w:rFonts w:ascii="Times-Italic" w:hAnsi="Times-Italic" w:cs="Times-Italic"/>
          <w:i/>
          <w:iCs/>
        </w:rPr>
        <w:t>G</w:t>
      </w:r>
      <w:r>
        <w:rPr>
          <w:rFonts w:ascii="Times-Italic" w:hAnsi="Times-Italic" w:cs="Times-Italic"/>
          <w:i/>
          <w:iCs/>
          <w:sz w:val="10"/>
          <w:szCs w:val="10"/>
        </w:rPr>
        <w:t>i</w:t>
      </w:r>
      <w:proofErr w:type="spellEnd"/>
      <w:r>
        <w:t xml:space="preserve">* </w:t>
      </w:r>
      <w:proofErr w:type="gramStart"/>
      <w:r>
        <w:t>statistic</w:t>
      </w:r>
      <w:r w:rsidR="00CD21FD">
        <w:t>(</w:t>
      </w:r>
      <w:proofErr w:type="gramEnd"/>
      <w:r w:rsidR="00CD21FD">
        <w:t>1)</w:t>
      </w:r>
      <w:r>
        <w:t xml:space="preserve">, based on the geocoded addresses of MESA participants linked to US Census data. The </w:t>
      </w:r>
      <w:proofErr w:type="spellStart"/>
      <w:r>
        <w:rPr>
          <w:rFonts w:ascii="Times-Italic" w:hAnsi="Times-Italic" w:cs="Times-Italic"/>
          <w:i/>
          <w:iCs/>
        </w:rPr>
        <w:t>G</w:t>
      </w:r>
      <w:r>
        <w:rPr>
          <w:rFonts w:ascii="Times-Italic" w:hAnsi="Times-Italic" w:cs="Times-Italic"/>
          <w:i/>
          <w:iCs/>
          <w:sz w:val="10"/>
          <w:szCs w:val="10"/>
        </w:rPr>
        <w:t>i</w:t>
      </w:r>
      <w:proofErr w:type="spellEnd"/>
      <w:r>
        <w:t xml:space="preserve">* statistic returns a </w:t>
      </w:r>
      <w:r>
        <w:rPr>
          <w:rFonts w:ascii="Times-Italic" w:hAnsi="Times-Italic" w:cs="Times-Italic"/>
          <w:i/>
          <w:iCs/>
        </w:rPr>
        <w:t xml:space="preserve">Z </w:t>
      </w:r>
      <w:r>
        <w:t xml:space="preserve">score for each neighborhood (census tract), indicating the extent to which the racial/ethnic composition in the focal tract and neighboring tracts deviates from the mean racial composition of some larger areal unit surrounding the tract (in our case, the set of counties represented in each MESA site). Higher positive </w:t>
      </w:r>
      <w:proofErr w:type="spellStart"/>
      <w:r>
        <w:rPr>
          <w:rFonts w:ascii="Times-Italic" w:hAnsi="Times-Italic" w:cs="Times-Italic"/>
          <w:i/>
          <w:iCs/>
        </w:rPr>
        <w:t>G</w:t>
      </w:r>
      <w:r>
        <w:rPr>
          <w:rFonts w:ascii="Times-Italic" w:hAnsi="Times-Italic" w:cs="Times-Italic"/>
          <w:i/>
          <w:iCs/>
          <w:sz w:val="10"/>
          <w:szCs w:val="10"/>
        </w:rPr>
        <w:t>i</w:t>
      </w:r>
      <w:proofErr w:type="spellEnd"/>
      <w:r>
        <w:t xml:space="preserve">* </w:t>
      </w:r>
      <w:r>
        <w:rPr>
          <w:rFonts w:ascii="Times-Italic" w:hAnsi="Times-Italic" w:cs="Times-Italic"/>
          <w:i/>
          <w:iCs/>
        </w:rPr>
        <w:t xml:space="preserve">Z </w:t>
      </w:r>
      <w:r>
        <w:t>scores indicate higher racial/ethnic segregation or clustering (overrepresentation), scores near 0 indicate racial integration, and lower negative scores suggest lower racial/ethnic representation (underrepresentation), in comparison with the racial composition of the larger areal unit.</w:t>
      </w:r>
    </w:p>
    <w:p w14:paraId="133AE8FA" w14:textId="6AFC2C2D" w:rsidR="00D42079" w:rsidRPr="00CD21FD" w:rsidRDefault="00D42079" w:rsidP="00CD21FD">
      <w:r>
        <w:t xml:space="preserve">Most studies of neighborhood-level racial/ethnic residential segregation use racial/ethnic </w:t>
      </w:r>
      <w:r w:rsidR="00CD21FD">
        <w:t>composition</w:t>
      </w:r>
      <w:r>
        <w:t xml:space="preserve"> or the proportion of a race/ethnic group in a neighborhood, as a proxy for </w:t>
      </w:r>
      <w:proofErr w:type="gramStart"/>
      <w:r>
        <w:t>segregation</w:t>
      </w:r>
      <w:r w:rsidR="00CD21FD">
        <w:t>(</w:t>
      </w:r>
      <w:proofErr w:type="gramEnd"/>
      <w:r w:rsidR="00CD21FD">
        <w:t>2)</w:t>
      </w:r>
      <w:r>
        <w:t xml:space="preserve">. However, this measure is limited in that it does not incorporate any information on the racial composition of the larger area in which the neighborhood is embedded or on the distribution of groups in </w:t>
      </w:r>
      <w:proofErr w:type="gramStart"/>
      <w:r>
        <w:t>space</w:t>
      </w:r>
      <w:r w:rsidR="00CD21FD">
        <w:t>(</w:t>
      </w:r>
      <w:proofErr w:type="gramEnd"/>
      <w:r w:rsidR="00CD21FD">
        <w:t>3)</w:t>
      </w:r>
      <w:r>
        <w:t xml:space="preserve">. The </w:t>
      </w:r>
      <w:proofErr w:type="spellStart"/>
      <w:r>
        <w:rPr>
          <w:rFonts w:ascii="Times-Italic" w:hAnsi="Times-Italic" w:cs="Times-Italic"/>
          <w:i/>
          <w:iCs/>
        </w:rPr>
        <w:t>G</w:t>
      </w:r>
      <w:r>
        <w:rPr>
          <w:rFonts w:ascii="Times-Italic" w:hAnsi="Times-Italic" w:cs="Times-Italic"/>
          <w:i/>
          <w:iCs/>
          <w:sz w:val="10"/>
          <w:szCs w:val="10"/>
        </w:rPr>
        <w:t>i</w:t>
      </w:r>
      <w:proofErr w:type="spellEnd"/>
      <w:r>
        <w:t xml:space="preserve">* statistic, in contrast, better reflects both the contextual and spatial aspects of segregation. A given neighborhood will have a higher </w:t>
      </w:r>
      <w:proofErr w:type="spellStart"/>
      <w:r>
        <w:rPr>
          <w:rFonts w:ascii="Times-Italic" w:hAnsi="Times-Italic" w:cs="Times-Italic"/>
          <w:i/>
          <w:iCs/>
        </w:rPr>
        <w:t>G</w:t>
      </w:r>
      <w:r>
        <w:rPr>
          <w:rFonts w:ascii="Times-Italic" w:hAnsi="Times-Italic" w:cs="Times-Italic"/>
          <w:i/>
          <w:iCs/>
          <w:sz w:val="10"/>
          <w:szCs w:val="10"/>
        </w:rPr>
        <w:t>i</w:t>
      </w:r>
      <w:proofErr w:type="spellEnd"/>
      <w:r>
        <w:t xml:space="preserve">* statistic the larger the difference between its racial composition and the composition of the larger areal unit. In addition, a neighborhood surrounded by similarly </w:t>
      </w:r>
      <w:r w:rsidRPr="00CD21FD">
        <w:t xml:space="preserve">segregated areas will have a higher </w:t>
      </w:r>
      <w:proofErr w:type="spellStart"/>
      <w:r w:rsidRPr="00CD21FD">
        <w:rPr>
          <w:rFonts w:cs="Times-Italic"/>
          <w:i/>
          <w:iCs/>
        </w:rPr>
        <w:t>Gi</w:t>
      </w:r>
      <w:proofErr w:type="spellEnd"/>
      <w:r w:rsidRPr="00CD21FD">
        <w:t>* statistic than those surrounded by less segregated areas.</w:t>
      </w:r>
    </w:p>
    <w:p w14:paraId="093B2845" w14:textId="3CB47DC1" w:rsidR="00CD21FD" w:rsidRPr="00CD21FD" w:rsidRDefault="00CD21FD" w:rsidP="00CD21FD">
      <w:pPr>
        <w:rPr>
          <w:rFonts w:cs="Times-Roman"/>
        </w:rPr>
      </w:pPr>
      <w:r w:rsidRPr="00CD21FD">
        <w:t xml:space="preserve">1 </w:t>
      </w:r>
      <w:proofErr w:type="spellStart"/>
      <w:r w:rsidRPr="00CD21FD">
        <w:rPr>
          <w:rFonts w:cs="Times-Roman"/>
        </w:rPr>
        <w:t>Getis</w:t>
      </w:r>
      <w:proofErr w:type="spellEnd"/>
      <w:r w:rsidRPr="00CD21FD">
        <w:rPr>
          <w:rFonts w:cs="Times-Roman"/>
        </w:rPr>
        <w:t xml:space="preserve"> A, </w:t>
      </w:r>
      <w:proofErr w:type="spellStart"/>
      <w:r w:rsidRPr="00CD21FD">
        <w:rPr>
          <w:rFonts w:cs="Times-Roman"/>
        </w:rPr>
        <w:t>Ord</w:t>
      </w:r>
      <w:proofErr w:type="spellEnd"/>
      <w:r w:rsidRPr="00CD21FD">
        <w:rPr>
          <w:rFonts w:cs="Times-Roman"/>
        </w:rPr>
        <w:t xml:space="preserve"> JK. </w:t>
      </w:r>
      <w:proofErr w:type="gramStart"/>
      <w:r w:rsidRPr="00CD21FD">
        <w:rPr>
          <w:rFonts w:cs="Times-Roman"/>
        </w:rPr>
        <w:t>The analysis of spatial association by use of distance</w:t>
      </w:r>
      <w:r>
        <w:rPr>
          <w:rFonts w:cs="Times-Roman"/>
        </w:rPr>
        <w:t xml:space="preserve"> </w:t>
      </w:r>
      <w:r w:rsidRPr="00CD21FD">
        <w:rPr>
          <w:rFonts w:cs="Times-Roman"/>
        </w:rPr>
        <w:t>statistics.</w:t>
      </w:r>
      <w:proofErr w:type="gramEnd"/>
      <w:r w:rsidRPr="00CD21FD">
        <w:rPr>
          <w:rFonts w:cs="Times-Roman"/>
        </w:rPr>
        <w:t xml:space="preserve"> </w:t>
      </w:r>
      <w:proofErr w:type="spellStart"/>
      <w:r w:rsidRPr="00CD21FD">
        <w:rPr>
          <w:rFonts w:cs="Times-Italic"/>
          <w:i/>
          <w:iCs/>
        </w:rPr>
        <w:t>Geogr</w:t>
      </w:r>
      <w:proofErr w:type="spellEnd"/>
      <w:r w:rsidRPr="00CD21FD">
        <w:rPr>
          <w:rFonts w:cs="Times-Italic"/>
          <w:i/>
          <w:iCs/>
        </w:rPr>
        <w:t xml:space="preserve"> Anal</w:t>
      </w:r>
      <w:r w:rsidRPr="00CD21FD">
        <w:rPr>
          <w:rFonts w:cs="Times-Roman"/>
        </w:rPr>
        <w:t>. 1992</w:t>
      </w:r>
      <w:proofErr w:type="gramStart"/>
      <w:r w:rsidRPr="00CD21FD">
        <w:rPr>
          <w:rFonts w:cs="Times-Roman"/>
        </w:rPr>
        <w:t>;24:189</w:t>
      </w:r>
      <w:proofErr w:type="gramEnd"/>
      <w:r w:rsidRPr="00CD21FD">
        <w:rPr>
          <w:rFonts w:cs="Times-Roman"/>
        </w:rPr>
        <w:t>–206.</w:t>
      </w:r>
    </w:p>
    <w:p w14:paraId="77986370" w14:textId="57B54E2B" w:rsidR="00CD21FD" w:rsidRPr="00CD21FD" w:rsidRDefault="00CD21FD" w:rsidP="00CD21FD">
      <w:pPr>
        <w:rPr>
          <w:rFonts w:cs="Times-Roman"/>
        </w:rPr>
      </w:pPr>
      <w:r w:rsidRPr="00CD21FD">
        <w:rPr>
          <w:rFonts w:cs="Times-Roman"/>
        </w:rPr>
        <w:t xml:space="preserve">2 White K, </w:t>
      </w:r>
      <w:proofErr w:type="spellStart"/>
      <w:r w:rsidRPr="00CD21FD">
        <w:rPr>
          <w:rFonts w:cs="Times-Roman"/>
        </w:rPr>
        <w:t>Borrell</w:t>
      </w:r>
      <w:proofErr w:type="spellEnd"/>
      <w:r w:rsidRPr="00CD21FD">
        <w:rPr>
          <w:rFonts w:cs="Times-Roman"/>
        </w:rPr>
        <w:t xml:space="preserve"> LN. Racial/ethnic residential segregation: framing the context</w:t>
      </w:r>
      <w:r>
        <w:rPr>
          <w:rFonts w:cs="Times-Roman"/>
        </w:rPr>
        <w:t xml:space="preserve"> </w:t>
      </w:r>
      <w:r w:rsidRPr="00CD21FD">
        <w:rPr>
          <w:rFonts w:cs="Times-Roman"/>
        </w:rPr>
        <w:t xml:space="preserve">of health risk and health disparities. </w:t>
      </w:r>
      <w:proofErr w:type="gramStart"/>
      <w:r w:rsidRPr="00CD21FD">
        <w:rPr>
          <w:rFonts w:cs="Times-Italic"/>
          <w:i/>
          <w:iCs/>
        </w:rPr>
        <w:t>Health Place</w:t>
      </w:r>
      <w:r w:rsidRPr="00CD21FD">
        <w:rPr>
          <w:rFonts w:cs="Times-Roman"/>
        </w:rPr>
        <w:t>.</w:t>
      </w:r>
      <w:proofErr w:type="gramEnd"/>
      <w:r w:rsidRPr="00CD21FD">
        <w:rPr>
          <w:rFonts w:cs="Times-Roman"/>
        </w:rPr>
        <w:t xml:space="preserve"> 2011</w:t>
      </w:r>
      <w:proofErr w:type="gramStart"/>
      <w:r w:rsidRPr="00CD21FD">
        <w:rPr>
          <w:rFonts w:cs="Times-Roman"/>
        </w:rPr>
        <w:t>;17:438</w:t>
      </w:r>
      <w:proofErr w:type="gramEnd"/>
      <w:r w:rsidRPr="00CD21FD">
        <w:rPr>
          <w:rFonts w:cs="Times-Roman"/>
        </w:rPr>
        <w:t>–448.</w:t>
      </w:r>
    </w:p>
    <w:p w14:paraId="6737A950" w14:textId="3907B3F8" w:rsidR="00CD21FD" w:rsidRPr="00CD21FD" w:rsidRDefault="00CD21FD" w:rsidP="00CD21FD">
      <w:pPr>
        <w:rPr>
          <w:rFonts w:cs="Times-Roman"/>
        </w:rPr>
      </w:pPr>
      <w:proofErr w:type="gramStart"/>
      <w:r w:rsidRPr="00CD21FD">
        <w:rPr>
          <w:rFonts w:cs="Times-Roman"/>
        </w:rPr>
        <w:t>3 Kramer MR, Hogue CR.</w:t>
      </w:r>
      <w:proofErr w:type="gramEnd"/>
      <w:r w:rsidRPr="00CD21FD">
        <w:rPr>
          <w:rFonts w:cs="Times-Roman"/>
        </w:rPr>
        <w:t xml:space="preserve"> Is segregation bad for your health? </w:t>
      </w:r>
      <w:proofErr w:type="spellStart"/>
      <w:r w:rsidRPr="00CD21FD">
        <w:rPr>
          <w:rFonts w:cs="Times-Italic"/>
          <w:i/>
          <w:iCs/>
        </w:rPr>
        <w:t>Epidemiol</w:t>
      </w:r>
      <w:proofErr w:type="spellEnd"/>
      <w:r>
        <w:rPr>
          <w:rFonts w:cs="Times-Italic"/>
          <w:i/>
          <w:iCs/>
        </w:rPr>
        <w:t xml:space="preserve"> </w:t>
      </w:r>
      <w:r w:rsidRPr="00CD21FD">
        <w:rPr>
          <w:rFonts w:cs="Times-Italic"/>
          <w:i/>
          <w:iCs/>
        </w:rPr>
        <w:t>Rev</w:t>
      </w:r>
      <w:r w:rsidRPr="00CD21FD">
        <w:rPr>
          <w:rFonts w:cs="Times-Roman"/>
        </w:rPr>
        <w:t>. 2009</w:t>
      </w:r>
      <w:proofErr w:type="gramStart"/>
      <w:r w:rsidRPr="00CD21FD">
        <w:rPr>
          <w:rFonts w:cs="Times-Roman"/>
        </w:rPr>
        <w:t>;31:178</w:t>
      </w:r>
      <w:proofErr w:type="gramEnd"/>
      <w:r w:rsidRPr="00CD21FD">
        <w:rPr>
          <w:rFonts w:cs="Times-Roman"/>
        </w:rPr>
        <w:t>–194.</w:t>
      </w:r>
    </w:p>
    <w:p w14:paraId="56087032" w14:textId="578A31DB" w:rsidR="00D42079" w:rsidRDefault="00D42079" w:rsidP="00D42079">
      <w:pPr>
        <w:pStyle w:val="Heading1"/>
      </w:pPr>
      <w:r>
        <w:lastRenderedPageBreak/>
        <w:t xml:space="preserve">Published MESA </w:t>
      </w:r>
      <w:r w:rsidR="00A30F5E">
        <w:t>M</w:t>
      </w:r>
      <w:r>
        <w:t xml:space="preserve">anuscripts </w:t>
      </w:r>
      <w:r w:rsidR="00A30F5E">
        <w:t>U</w:t>
      </w:r>
      <w:r>
        <w:t xml:space="preserve">sing the </w:t>
      </w:r>
      <w:r w:rsidR="00A30F5E">
        <w:t>D</w:t>
      </w:r>
      <w:r>
        <w:t>ata:</w:t>
      </w:r>
    </w:p>
    <w:p w14:paraId="6D93EE30" w14:textId="77777777" w:rsidR="00836BE1" w:rsidRDefault="00836BE1" w:rsidP="00D42079">
      <w:r w:rsidRPr="00C95235">
        <w:t xml:space="preserve">Jones, M.R., et al., </w:t>
      </w:r>
      <w:r w:rsidRPr="00C95235">
        <w:rPr>
          <w:i/>
        </w:rPr>
        <w:t>Race/Ethnicity, Residential Segregation, and Exposure to Ambient Air Pollution: The Multi-Ethnic Study of Atherosclerosis (MESA).</w:t>
      </w:r>
      <w:r w:rsidRPr="00C95235">
        <w:t xml:space="preserve"> </w:t>
      </w:r>
      <w:proofErr w:type="gramStart"/>
      <w:r w:rsidRPr="00C95235">
        <w:t>Am</w:t>
      </w:r>
      <w:proofErr w:type="gramEnd"/>
      <w:r w:rsidRPr="00C95235">
        <w:t xml:space="preserve"> J Public Health, 2014: p. e1-e8</w:t>
      </w:r>
    </w:p>
    <w:p w14:paraId="1CC522E8" w14:textId="5F25882B" w:rsidR="00D42079" w:rsidRPr="00D42079" w:rsidRDefault="00D42079" w:rsidP="00D42079">
      <w:r w:rsidRPr="00C95235">
        <w:t xml:space="preserve">Kershaw, K.N., et al., </w:t>
      </w:r>
      <w:r w:rsidRPr="00C95235">
        <w:rPr>
          <w:i/>
        </w:rPr>
        <w:t>Neighborhood-level racial/ethnic residential segregation and incident cardiovascular disease: the multi-ethnic study of atherosclerosis.</w:t>
      </w:r>
      <w:r w:rsidRPr="00C95235">
        <w:t xml:space="preserve"> </w:t>
      </w:r>
      <w:proofErr w:type="gramStart"/>
      <w:r w:rsidRPr="00C95235">
        <w:t>Circulation, 2015.</w:t>
      </w:r>
      <w:proofErr w:type="gramEnd"/>
      <w:r w:rsidRPr="00C95235">
        <w:t xml:space="preserve"> </w:t>
      </w:r>
      <w:r w:rsidRPr="00C95235">
        <w:rPr>
          <w:b/>
        </w:rPr>
        <w:t>131</w:t>
      </w:r>
      <w:r w:rsidRPr="00C95235">
        <w:t>(2): p. 141-8.</w:t>
      </w:r>
    </w:p>
    <w:p w14:paraId="56DA7F52" w14:textId="77777777" w:rsidR="009B4E1C" w:rsidRDefault="009B4E1C">
      <w:pPr>
        <w:rPr>
          <w:rFonts w:asciiTheme="majorHAnsi" w:eastAsiaTheme="majorEastAsia" w:hAnsiTheme="majorHAnsi" w:cstheme="majorBidi"/>
          <w:b/>
          <w:bCs/>
          <w:color w:val="365F91" w:themeColor="accent1" w:themeShade="BF"/>
          <w:sz w:val="28"/>
          <w:szCs w:val="28"/>
          <w:u w:val="single"/>
        </w:rPr>
      </w:pPr>
      <w:r>
        <w:br w:type="page"/>
      </w:r>
    </w:p>
    <w:p w14:paraId="51D8D19B" w14:textId="539A05B9" w:rsidR="00CD7C34" w:rsidRDefault="005D54B5" w:rsidP="00CD7C34">
      <w:pPr>
        <w:pStyle w:val="Heading1"/>
      </w:pPr>
      <w:r>
        <w:lastRenderedPageBreak/>
        <w:t>Dataset Description:</w:t>
      </w:r>
    </w:p>
    <w:p w14:paraId="05EE1169" w14:textId="77777777" w:rsidR="00CD7C34" w:rsidRDefault="00CD7C34" w:rsidP="00CD7C34">
      <w:r>
        <w:t>Participant inclusion: MESA participants who agreed to participate in the MESA Neighborhood study (N=6191)</w:t>
      </w:r>
    </w:p>
    <w:p w14:paraId="191EA46A" w14:textId="77777777" w:rsidR="00F97A64" w:rsidRDefault="00F97A64" w:rsidP="00CD7C34">
      <w:r>
        <w:t>Data set-up: Panel (stacked) dataset with 1 row per participant per exam; an exam indicator is included</w:t>
      </w:r>
    </w:p>
    <w:p w14:paraId="479643FC" w14:textId="77777777" w:rsidR="00F97A64" w:rsidRPr="00CD7C34" w:rsidRDefault="00F97A64" w:rsidP="00CD7C34">
      <w:r>
        <w:t xml:space="preserve">Notes: Any addresses that were unable to geocode OR those addresses that are outside the boundaries for the study area will have missing data for all </w:t>
      </w:r>
      <w:proofErr w:type="spellStart"/>
      <w:r>
        <w:t>G</w:t>
      </w:r>
      <w:r w:rsidRPr="00F97A64">
        <w:rPr>
          <w:vertAlign w:val="subscript"/>
        </w:rPr>
        <w:t>i</w:t>
      </w:r>
      <w:proofErr w:type="spellEnd"/>
      <w:r>
        <w:t xml:space="preserve">* variables.  Indicators are included to distinguish the reason for </w:t>
      </w:r>
      <w:proofErr w:type="spellStart"/>
      <w:r>
        <w:t>missingness</w:t>
      </w:r>
      <w:proofErr w:type="spellEnd"/>
      <w:r>
        <w:t>.</w:t>
      </w:r>
    </w:p>
    <w:p w14:paraId="2F9DB948" w14:textId="77777777" w:rsidR="006A2E2A" w:rsidRDefault="00AD4FE0" w:rsidP="009F1147">
      <w:pPr>
        <w:tabs>
          <w:tab w:val="center" w:pos="6480"/>
        </w:tabs>
        <w:autoSpaceDE w:val="0"/>
        <w:autoSpaceDN w:val="0"/>
        <w:adjustRightInd w:val="0"/>
        <w:spacing w:after="0" w:line="240" w:lineRule="auto"/>
        <w:rPr>
          <w:rFonts w:cs="SAS Monospace"/>
          <w:b/>
        </w:rPr>
      </w:pPr>
      <w:r w:rsidRPr="00AD4FE0">
        <w:rPr>
          <w:rFonts w:cs="SAS Monospace"/>
          <w:b/>
        </w:rPr>
        <w:t>Data Set Name: MESANBH_RACIALSEG0</w:t>
      </w:r>
      <w:r w:rsidR="009F1147">
        <w:rPr>
          <w:rFonts w:cs="SAS Monospace"/>
          <w:b/>
        </w:rPr>
        <w:t>7</w:t>
      </w:r>
      <w:r w:rsidRPr="00AD4FE0">
        <w:rPr>
          <w:rFonts w:cs="SAS Monospace"/>
          <w:b/>
        </w:rPr>
        <w:t>0</w:t>
      </w:r>
      <w:r w:rsidR="009F1147">
        <w:rPr>
          <w:rFonts w:cs="SAS Monospace"/>
          <w:b/>
        </w:rPr>
        <w:t>7</w:t>
      </w:r>
      <w:r w:rsidRPr="00AD4FE0">
        <w:rPr>
          <w:rFonts w:cs="SAS Monospace"/>
          <w:b/>
        </w:rPr>
        <w:t>2016</w:t>
      </w:r>
    </w:p>
    <w:tbl>
      <w:tblPr>
        <w:tblStyle w:val="TableGrid"/>
        <w:tblW w:w="10620" w:type="dxa"/>
        <w:tblInd w:w="-612" w:type="dxa"/>
        <w:tblLook w:val="04A0" w:firstRow="1" w:lastRow="0" w:firstColumn="1" w:lastColumn="0" w:noHBand="0" w:noVBand="1"/>
      </w:tblPr>
      <w:tblGrid>
        <w:gridCol w:w="990"/>
        <w:gridCol w:w="1620"/>
        <w:gridCol w:w="5850"/>
        <w:gridCol w:w="2160"/>
      </w:tblGrid>
      <w:tr w:rsidR="006A2E2A" w14:paraId="629AC821" w14:textId="77777777" w:rsidTr="006A2E2A">
        <w:trPr>
          <w:tblHeader/>
        </w:trPr>
        <w:tc>
          <w:tcPr>
            <w:tcW w:w="990" w:type="dxa"/>
          </w:tcPr>
          <w:p w14:paraId="5F31290A" w14:textId="10FE4F80" w:rsidR="006A2E2A" w:rsidRDefault="006A2E2A" w:rsidP="009F1147">
            <w:pPr>
              <w:tabs>
                <w:tab w:val="center" w:pos="6480"/>
              </w:tabs>
              <w:autoSpaceDE w:val="0"/>
              <w:autoSpaceDN w:val="0"/>
              <w:adjustRightInd w:val="0"/>
              <w:rPr>
                <w:rFonts w:cs="SAS Monospace"/>
                <w:b/>
              </w:rPr>
            </w:pPr>
            <w:r w:rsidRPr="003A3BF5">
              <w:rPr>
                <w:b/>
                <w:sz w:val="20"/>
                <w:szCs w:val="20"/>
              </w:rPr>
              <w:t>Variable Order</w:t>
            </w:r>
          </w:p>
        </w:tc>
        <w:tc>
          <w:tcPr>
            <w:tcW w:w="1620" w:type="dxa"/>
          </w:tcPr>
          <w:p w14:paraId="7C0042F7" w14:textId="073CA96F" w:rsidR="006A2E2A" w:rsidRDefault="006A2E2A" w:rsidP="009F1147">
            <w:pPr>
              <w:tabs>
                <w:tab w:val="center" w:pos="6480"/>
              </w:tabs>
              <w:autoSpaceDE w:val="0"/>
              <w:autoSpaceDN w:val="0"/>
              <w:adjustRightInd w:val="0"/>
              <w:rPr>
                <w:rFonts w:cs="SAS Monospace"/>
                <w:b/>
              </w:rPr>
            </w:pPr>
            <w:r w:rsidRPr="003A3BF5">
              <w:rPr>
                <w:b/>
                <w:sz w:val="20"/>
                <w:szCs w:val="20"/>
              </w:rPr>
              <w:t>Variable name</w:t>
            </w:r>
          </w:p>
        </w:tc>
        <w:tc>
          <w:tcPr>
            <w:tcW w:w="5850" w:type="dxa"/>
          </w:tcPr>
          <w:p w14:paraId="3115F1DF" w14:textId="3D3CC930" w:rsidR="006A2E2A" w:rsidRDefault="006A2E2A" w:rsidP="009F1147">
            <w:pPr>
              <w:tabs>
                <w:tab w:val="center" w:pos="6480"/>
              </w:tabs>
              <w:autoSpaceDE w:val="0"/>
              <w:autoSpaceDN w:val="0"/>
              <w:adjustRightInd w:val="0"/>
              <w:rPr>
                <w:rFonts w:cs="SAS Monospace"/>
                <w:b/>
              </w:rPr>
            </w:pPr>
            <w:r w:rsidRPr="003A3BF5">
              <w:rPr>
                <w:rFonts w:cstheme="minorHAnsi"/>
                <w:b/>
                <w:sz w:val="20"/>
                <w:szCs w:val="20"/>
              </w:rPr>
              <w:t>Description</w:t>
            </w:r>
          </w:p>
        </w:tc>
        <w:tc>
          <w:tcPr>
            <w:tcW w:w="2160" w:type="dxa"/>
          </w:tcPr>
          <w:p w14:paraId="31ECC052" w14:textId="5FFF0350" w:rsidR="006A2E2A" w:rsidRDefault="006A2E2A" w:rsidP="009F1147">
            <w:pPr>
              <w:tabs>
                <w:tab w:val="center" w:pos="6480"/>
              </w:tabs>
              <w:autoSpaceDE w:val="0"/>
              <w:autoSpaceDN w:val="0"/>
              <w:adjustRightInd w:val="0"/>
              <w:rPr>
                <w:rFonts w:cs="SAS Monospace"/>
                <w:b/>
              </w:rPr>
            </w:pPr>
            <w:r w:rsidRPr="003A3BF5">
              <w:rPr>
                <w:rFonts w:cstheme="minorHAnsi"/>
                <w:b/>
                <w:sz w:val="20"/>
                <w:szCs w:val="20"/>
              </w:rPr>
              <w:t>Coding</w:t>
            </w:r>
          </w:p>
        </w:tc>
      </w:tr>
      <w:tr w:rsidR="006A2E2A" w14:paraId="33C1E243" w14:textId="77777777" w:rsidTr="006A2E2A">
        <w:tc>
          <w:tcPr>
            <w:tcW w:w="990" w:type="dxa"/>
          </w:tcPr>
          <w:p w14:paraId="66FC789F" w14:textId="1A73CFD0" w:rsidR="006A2E2A" w:rsidRDefault="006A2E2A" w:rsidP="009F1147">
            <w:pPr>
              <w:tabs>
                <w:tab w:val="center" w:pos="6480"/>
              </w:tabs>
              <w:autoSpaceDE w:val="0"/>
              <w:autoSpaceDN w:val="0"/>
              <w:adjustRightInd w:val="0"/>
              <w:rPr>
                <w:rFonts w:cs="SAS Monospace"/>
                <w:b/>
              </w:rPr>
            </w:pPr>
            <w:r w:rsidRPr="003A3BF5">
              <w:rPr>
                <w:rFonts w:cs="SAS Monospace"/>
                <w:sz w:val="20"/>
                <w:szCs w:val="20"/>
              </w:rPr>
              <w:t>1</w:t>
            </w:r>
          </w:p>
        </w:tc>
        <w:tc>
          <w:tcPr>
            <w:tcW w:w="1620" w:type="dxa"/>
          </w:tcPr>
          <w:p w14:paraId="7EAC5568" w14:textId="67F81DA6" w:rsidR="006A2E2A" w:rsidRDefault="006A2E2A" w:rsidP="009F1147">
            <w:pPr>
              <w:tabs>
                <w:tab w:val="center" w:pos="6480"/>
              </w:tabs>
              <w:autoSpaceDE w:val="0"/>
              <w:autoSpaceDN w:val="0"/>
              <w:adjustRightInd w:val="0"/>
              <w:rPr>
                <w:rFonts w:cs="SAS Monospace"/>
                <w:b/>
              </w:rPr>
            </w:pPr>
            <w:proofErr w:type="spellStart"/>
            <w:r w:rsidRPr="003A3BF5">
              <w:rPr>
                <w:rFonts w:cs="SAS Monospace"/>
                <w:sz w:val="20"/>
                <w:szCs w:val="20"/>
              </w:rPr>
              <w:t>idno</w:t>
            </w:r>
            <w:proofErr w:type="spellEnd"/>
          </w:p>
        </w:tc>
        <w:tc>
          <w:tcPr>
            <w:tcW w:w="5850" w:type="dxa"/>
          </w:tcPr>
          <w:p w14:paraId="34557B55" w14:textId="34966743" w:rsidR="006A2E2A" w:rsidRDefault="006A2E2A" w:rsidP="009F1147">
            <w:pPr>
              <w:tabs>
                <w:tab w:val="center" w:pos="6480"/>
              </w:tabs>
              <w:autoSpaceDE w:val="0"/>
              <w:autoSpaceDN w:val="0"/>
              <w:adjustRightInd w:val="0"/>
              <w:rPr>
                <w:rFonts w:cs="SAS Monospace"/>
                <w:b/>
              </w:rPr>
            </w:pPr>
            <w:r w:rsidRPr="003A3BF5">
              <w:rPr>
                <w:rFonts w:cstheme="minorHAnsi"/>
                <w:sz w:val="20"/>
                <w:szCs w:val="20"/>
              </w:rPr>
              <w:t>MESA ID number</w:t>
            </w:r>
          </w:p>
        </w:tc>
        <w:tc>
          <w:tcPr>
            <w:tcW w:w="2160" w:type="dxa"/>
          </w:tcPr>
          <w:p w14:paraId="4E692BCB" w14:textId="77777777" w:rsidR="006A2E2A" w:rsidRDefault="006A2E2A" w:rsidP="009F1147">
            <w:pPr>
              <w:tabs>
                <w:tab w:val="center" w:pos="6480"/>
              </w:tabs>
              <w:autoSpaceDE w:val="0"/>
              <w:autoSpaceDN w:val="0"/>
              <w:adjustRightInd w:val="0"/>
              <w:rPr>
                <w:rFonts w:cs="SAS Monospace"/>
                <w:b/>
              </w:rPr>
            </w:pPr>
          </w:p>
        </w:tc>
      </w:tr>
      <w:tr w:rsidR="006A2E2A" w14:paraId="4DA07522" w14:textId="77777777" w:rsidTr="006A2E2A">
        <w:tc>
          <w:tcPr>
            <w:tcW w:w="990" w:type="dxa"/>
          </w:tcPr>
          <w:p w14:paraId="3E774EAA" w14:textId="1FBA8B2C"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2</w:t>
            </w:r>
          </w:p>
        </w:tc>
        <w:tc>
          <w:tcPr>
            <w:tcW w:w="1620" w:type="dxa"/>
          </w:tcPr>
          <w:p w14:paraId="0211AD7F" w14:textId="5279C716"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accuracy</w:t>
            </w:r>
          </w:p>
        </w:tc>
        <w:tc>
          <w:tcPr>
            <w:tcW w:w="5850" w:type="dxa"/>
          </w:tcPr>
          <w:p w14:paraId="7B399D87" w14:textId="24D7885C"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 xml:space="preserve">Geocoding accuracy indicator.  It is recommended that that only those with accuracy to at least zip code + </w:t>
            </w:r>
            <w:proofErr w:type="gramStart"/>
            <w:r w:rsidRPr="003A3BF5">
              <w:rPr>
                <w:rFonts w:cstheme="minorHAnsi"/>
                <w:sz w:val="20"/>
                <w:szCs w:val="20"/>
              </w:rPr>
              <w:t>4 centroid</w:t>
            </w:r>
            <w:proofErr w:type="gramEnd"/>
            <w:r w:rsidRPr="003A3BF5">
              <w:rPr>
                <w:rFonts w:cstheme="minorHAnsi"/>
                <w:sz w:val="20"/>
                <w:szCs w:val="20"/>
              </w:rPr>
              <w:t xml:space="preserve"> are used in analyses, at least for sensitivity analysis.</w:t>
            </w:r>
          </w:p>
        </w:tc>
        <w:tc>
          <w:tcPr>
            <w:tcW w:w="2160" w:type="dxa"/>
          </w:tcPr>
          <w:p w14:paraId="7B970470" w14:textId="77777777" w:rsidR="006A2E2A" w:rsidRPr="003A3BF5" w:rsidRDefault="006A2E2A" w:rsidP="00FC79F5">
            <w:pPr>
              <w:pStyle w:val="ListParagraph"/>
              <w:ind w:left="0"/>
              <w:rPr>
                <w:rFonts w:cstheme="minorHAnsi"/>
                <w:sz w:val="20"/>
                <w:szCs w:val="20"/>
              </w:rPr>
            </w:pPr>
            <w:r w:rsidRPr="003A3BF5">
              <w:rPr>
                <w:rFonts w:cstheme="minorHAnsi"/>
                <w:sz w:val="20"/>
                <w:szCs w:val="20"/>
              </w:rPr>
              <w:t>1 = Street level</w:t>
            </w:r>
          </w:p>
          <w:p w14:paraId="6B9246C7" w14:textId="77777777" w:rsidR="006A2E2A" w:rsidRPr="003A3BF5" w:rsidRDefault="006A2E2A" w:rsidP="00FC79F5">
            <w:pPr>
              <w:pStyle w:val="ListParagraph"/>
              <w:ind w:left="0"/>
              <w:rPr>
                <w:rFonts w:cstheme="minorHAnsi"/>
                <w:sz w:val="20"/>
                <w:szCs w:val="20"/>
              </w:rPr>
            </w:pPr>
            <w:r w:rsidRPr="003A3BF5">
              <w:rPr>
                <w:rFonts w:cstheme="minorHAnsi"/>
                <w:sz w:val="20"/>
                <w:szCs w:val="20"/>
              </w:rPr>
              <w:t>2 = Zip+4 centroid level</w:t>
            </w:r>
          </w:p>
          <w:p w14:paraId="65B23780" w14:textId="77777777" w:rsidR="006A2E2A" w:rsidRPr="003A3BF5" w:rsidRDefault="006A2E2A" w:rsidP="00FC79F5">
            <w:pPr>
              <w:pStyle w:val="ListParagraph"/>
              <w:ind w:left="0"/>
              <w:rPr>
                <w:rFonts w:cstheme="minorHAnsi"/>
                <w:sz w:val="20"/>
                <w:szCs w:val="20"/>
              </w:rPr>
            </w:pPr>
            <w:r w:rsidRPr="003A3BF5">
              <w:rPr>
                <w:rFonts w:cstheme="minorHAnsi"/>
                <w:sz w:val="20"/>
                <w:szCs w:val="20"/>
              </w:rPr>
              <w:t>3 = Zip+2 centroid level</w:t>
            </w:r>
          </w:p>
          <w:p w14:paraId="01082968" w14:textId="77777777" w:rsidR="006A2E2A" w:rsidRPr="003A3BF5" w:rsidRDefault="006A2E2A" w:rsidP="00FC79F5">
            <w:pPr>
              <w:pStyle w:val="ListParagraph"/>
              <w:ind w:left="0"/>
              <w:rPr>
                <w:rFonts w:cstheme="minorHAnsi"/>
                <w:sz w:val="20"/>
                <w:szCs w:val="20"/>
              </w:rPr>
            </w:pPr>
            <w:r w:rsidRPr="003A3BF5">
              <w:rPr>
                <w:rFonts w:cstheme="minorHAnsi"/>
                <w:sz w:val="20"/>
                <w:szCs w:val="20"/>
              </w:rPr>
              <w:t>4 = Zip code centroid</w:t>
            </w:r>
          </w:p>
          <w:p w14:paraId="6C5D2D51" w14:textId="31293095" w:rsidR="006A2E2A" w:rsidRDefault="006A2E2A" w:rsidP="009F1147">
            <w:pPr>
              <w:tabs>
                <w:tab w:val="center" w:pos="6480"/>
              </w:tabs>
              <w:autoSpaceDE w:val="0"/>
              <w:autoSpaceDN w:val="0"/>
              <w:adjustRightInd w:val="0"/>
              <w:rPr>
                <w:rFonts w:cs="SAS Monospace"/>
                <w:b/>
              </w:rPr>
            </w:pPr>
            <w:r w:rsidRPr="003A3BF5">
              <w:rPr>
                <w:rFonts w:cstheme="minorHAnsi"/>
                <w:sz w:val="20"/>
                <w:szCs w:val="20"/>
              </w:rPr>
              <w:t>5 = Unable to geocode</w:t>
            </w:r>
          </w:p>
        </w:tc>
      </w:tr>
      <w:tr w:rsidR="006A2E2A" w14:paraId="7857EBE1" w14:textId="77777777" w:rsidTr="006A2E2A">
        <w:tc>
          <w:tcPr>
            <w:tcW w:w="990" w:type="dxa"/>
          </w:tcPr>
          <w:p w14:paraId="4FF30165" w14:textId="60011AFC"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3</w:t>
            </w:r>
          </w:p>
        </w:tc>
        <w:tc>
          <w:tcPr>
            <w:tcW w:w="1620" w:type="dxa"/>
          </w:tcPr>
          <w:p w14:paraId="38895FAD" w14:textId="25752651" w:rsidR="006A2E2A" w:rsidRPr="003A3BF5" w:rsidRDefault="006A2E2A" w:rsidP="009F1147">
            <w:pPr>
              <w:tabs>
                <w:tab w:val="center" w:pos="6480"/>
              </w:tabs>
              <w:autoSpaceDE w:val="0"/>
              <w:autoSpaceDN w:val="0"/>
              <w:adjustRightInd w:val="0"/>
              <w:rPr>
                <w:rFonts w:cs="SAS Monospace"/>
                <w:sz w:val="20"/>
                <w:szCs w:val="20"/>
              </w:rPr>
            </w:pPr>
            <w:proofErr w:type="spellStart"/>
            <w:r w:rsidRPr="003A3BF5">
              <w:rPr>
                <w:rFonts w:cs="SAS Monospace"/>
                <w:sz w:val="20"/>
                <w:szCs w:val="20"/>
              </w:rPr>
              <w:t>cenid</w:t>
            </w:r>
            <w:proofErr w:type="spellEnd"/>
          </w:p>
        </w:tc>
        <w:tc>
          <w:tcPr>
            <w:tcW w:w="5850" w:type="dxa"/>
          </w:tcPr>
          <w:p w14:paraId="09283D7A" w14:textId="1A4BB311"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Fake census tract id for clustering analysis.  This should be used when using census tract level data in models.  This is from 2000 census since census 2000 and ACS use this geography.</w:t>
            </w:r>
          </w:p>
        </w:tc>
        <w:tc>
          <w:tcPr>
            <w:tcW w:w="2160" w:type="dxa"/>
          </w:tcPr>
          <w:p w14:paraId="67CB2BB0" w14:textId="77777777" w:rsidR="006A2E2A" w:rsidRPr="003A3BF5" w:rsidRDefault="006A2E2A" w:rsidP="00FC79F5">
            <w:pPr>
              <w:pStyle w:val="ListParagraph"/>
              <w:ind w:left="0"/>
              <w:rPr>
                <w:rFonts w:cstheme="minorHAnsi"/>
                <w:sz w:val="20"/>
                <w:szCs w:val="20"/>
              </w:rPr>
            </w:pPr>
          </w:p>
        </w:tc>
      </w:tr>
      <w:tr w:rsidR="006A2E2A" w14:paraId="1A69F753" w14:textId="77777777" w:rsidTr="006A2E2A">
        <w:tc>
          <w:tcPr>
            <w:tcW w:w="990" w:type="dxa"/>
          </w:tcPr>
          <w:p w14:paraId="71FEA82D" w14:textId="6E41E8BE"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4</w:t>
            </w:r>
          </w:p>
        </w:tc>
        <w:tc>
          <w:tcPr>
            <w:tcW w:w="1620" w:type="dxa"/>
          </w:tcPr>
          <w:p w14:paraId="5186AFFF" w14:textId="718AA6B3"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EXAM</w:t>
            </w:r>
          </w:p>
        </w:tc>
        <w:tc>
          <w:tcPr>
            <w:tcW w:w="5850" w:type="dxa"/>
          </w:tcPr>
          <w:p w14:paraId="371AA7D3" w14:textId="6F2A0D99"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MESA Exam number</w:t>
            </w:r>
          </w:p>
        </w:tc>
        <w:tc>
          <w:tcPr>
            <w:tcW w:w="2160" w:type="dxa"/>
          </w:tcPr>
          <w:p w14:paraId="14A5097F" w14:textId="77777777" w:rsidR="006A2E2A" w:rsidRPr="003A3BF5" w:rsidRDefault="006A2E2A" w:rsidP="00FC79F5">
            <w:pPr>
              <w:pStyle w:val="ListParagraph"/>
              <w:ind w:left="0"/>
              <w:rPr>
                <w:rFonts w:cstheme="minorHAnsi"/>
                <w:sz w:val="20"/>
                <w:szCs w:val="20"/>
              </w:rPr>
            </w:pPr>
          </w:p>
        </w:tc>
      </w:tr>
      <w:tr w:rsidR="006A2E2A" w14:paraId="26ADE4B9" w14:textId="77777777" w:rsidTr="006A2E2A">
        <w:tc>
          <w:tcPr>
            <w:tcW w:w="990" w:type="dxa"/>
          </w:tcPr>
          <w:p w14:paraId="3A22BAB6" w14:textId="782C67A4" w:rsidR="006A2E2A" w:rsidRPr="003A3BF5"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5</w:t>
            </w:r>
          </w:p>
        </w:tc>
        <w:tc>
          <w:tcPr>
            <w:tcW w:w="1620" w:type="dxa"/>
          </w:tcPr>
          <w:p w14:paraId="6161A8D0" w14:textId="5A9107FF" w:rsidR="006A2E2A" w:rsidRPr="003A3BF5" w:rsidRDefault="006A2E2A" w:rsidP="009F1147">
            <w:pPr>
              <w:tabs>
                <w:tab w:val="center" w:pos="6480"/>
              </w:tabs>
              <w:autoSpaceDE w:val="0"/>
              <w:autoSpaceDN w:val="0"/>
              <w:adjustRightInd w:val="0"/>
              <w:rPr>
                <w:rFonts w:cs="SAS Monospace"/>
                <w:sz w:val="20"/>
                <w:szCs w:val="20"/>
              </w:rPr>
            </w:pPr>
            <w:proofErr w:type="spellStart"/>
            <w:r>
              <w:rPr>
                <w:rFonts w:cs="SAS Monospace"/>
                <w:sz w:val="20"/>
                <w:szCs w:val="20"/>
              </w:rPr>
              <w:t>race_hisp</w:t>
            </w:r>
            <w:proofErr w:type="spellEnd"/>
          </w:p>
        </w:tc>
        <w:tc>
          <w:tcPr>
            <w:tcW w:w="5850" w:type="dxa"/>
          </w:tcPr>
          <w:p w14:paraId="7A962573" w14:textId="08ECA06D" w:rsidR="006A2E2A" w:rsidRPr="003A3BF5" w:rsidRDefault="006A2E2A" w:rsidP="009F1147">
            <w:pPr>
              <w:tabs>
                <w:tab w:val="center" w:pos="6480"/>
              </w:tabs>
              <w:autoSpaceDE w:val="0"/>
              <w:autoSpaceDN w:val="0"/>
              <w:adjustRightInd w:val="0"/>
              <w:rPr>
                <w:rFonts w:cstheme="minorHAnsi"/>
                <w:sz w:val="20"/>
                <w:szCs w:val="20"/>
              </w:rPr>
            </w:pPr>
            <w:r>
              <w:rPr>
                <w:rFonts w:cstheme="minorHAnsi"/>
                <w:sz w:val="20"/>
                <w:szCs w:val="20"/>
              </w:rPr>
              <w:t>% Hispanic in census tract</w:t>
            </w:r>
          </w:p>
        </w:tc>
        <w:tc>
          <w:tcPr>
            <w:tcW w:w="2160" w:type="dxa"/>
          </w:tcPr>
          <w:p w14:paraId="6D27B093" w14:textId="77777777" w:rsidR="006A2E2A" w:rsidRPr="003A3BF5" w:rsidRDefault="006A2E2A" w:rsidP="00FC79F5">
            <w:pPr>
              <w:pStyle w:val="ListParagraph"/>
              <w:ind w:left="0"/>
              <w:rPr>
                <w:rFonts w:cstheme="minorHAnsi"/>
                <w:sz w:val="20"/>
                <w:szCs w:val="20"/>
              </w:rPr>
            </w:pPr>
          </w:p>
        </w:tc>
      </w:tr>
      <w:tr w:rsidR="006A2E2A" w14:paraId="36C076FB" w14:textId="77777777" w:rsidTr="006A2E2A">
        <w:tc>
          <w:tcPr>
            <w:tcW w:w="990" w:type="dxa"/>
          </w:tcPr>
          <w:p w14:paraId="222526AB" w14:textId="10A15494" w:rsidR="006A2E2A" w:rsidRPr="003A3BF5" w:rsidRDefault="006A2E2A" w:rsidP="009F1147">
            <w:pPr>
              <w:tabs>
                <w:tab w:val="center" w:pos="6480"/>
              </w:tabs>
              <w:autoSpaceDE w:val="0"/>
              <w:autoSpaceDN w:val="0"/>
              <w:adjustRightInd w:val="0"/>
              <w:rPr>
                <w:rFonts w:cs="SAS Monospace"/>
                <w:sz w:val="20"/>
                <w:szCs w:val="20"/>
              </w:rPr>
            </w:pPr>
            <w:r w:rsidRPr="003A3BF5">
              <w:rPr>
                <w:rFonts w:cs="Arial"/>
                <w:sz w:val="20"/>
                <w:szCs w:val="20"/>
              </w:rPr>
              <w:t>6</w:t>
            </w:r>
          </w:p>
        </w:tc>
        <w:tc>
          <w:tcPr>
            <w:tcW w:w="1620" w:type="dxa"/>
          </w:tcPr>
          <w:p w14:paraId="064931A3" w14:textId="18366744" w:rsidR="006A2E2A" w:rsidRDefault="006A2E2A" w:rsidP="009F1147">
            <w:pPr>
              <w:tabs>
                <w:tab w:val="center" w:pos="6480"/>
              </w:tabs>
              <w:autoSpaceDE w:val="0"/>
              <w:autoSpaceDN w:val="0"/>
              <w:adjustRightInd w:val="0"/>
              <w:rPr>
                <w:rFonts w:cs="SAS Monospace"/>
                <w:sz w:val="20"/>
                <w:szCs w:val="20"/>
              </w:rPr>
            </w:pPr>
            <w:proofErr w:type="spellStart"/>
            <w:r>
              <w:rPr>
                <w:rFonts w:cs="SAS Monospace"/>
                <w:sz w:val="20"/>
                <w:szCs w:val="20"/>
              </w:rPr>
              <w:t>race_whiteNH</w:t>
            </w:r>
            <w:proofErr w:type="spellEnd"/>
          </w:p>
        </w:tc>
        <w:tc>
          <w:tcPr>
            <w:tcW w:w="5850" w:type="dxa"/>
          </w:tcPr>
          <w:p w14:paraId="4101E094" w14:textId="7A2469B3" w:rsidR="006A2E2A" w:rsidRDefault="006A2E2A" w:rsidP="009F1147">
            <w:pPr>
              <w:tabs>
                <w:tab w:val="center" w:pos="6480"/>
              </w:tabs>
              <w:autoSpaceDE w:val="0"/>
              <w:autoSpaceDN w:val="0"/>
              <w:adjustRightInd w:val="0"/>
              <w:rPr>
                <w:rFonts w:cstheme="minorHAnsi"/>
                <w:sz w:val="20"/>
                <w:szCs w:val="20"/>
              </w:rPr>
            </w:pPr>
            <w:r>
              <w:rPr>
                <w:rFonts w:cstheme="minorHAnsi"/>
                <w:sz w:val="20"/>
                <w:szCs w:val="20"/>
              </w:rPr>
              <w:t>% non-Hispanic White in census tract</w:t>
            </w:r>
          </w:p>
        </w:tc>
        <w:tc>
          <w:tcPr>
            <w:tcW w:w="2160" w:type="dxa"/>
          </w:tcPr>
          <w:p w14:paraId="0011679C" w14:textId="77777777" w:rsidR="006A2E2A" w:rsidRPr="003A3BF5" w:rsidRDefault="006A2E2A" w:rsidP="00FC79F5">
            <w:pPr>
              <w:pStyle w:val="ListParagraph"/>
              <w:ind w:left="0"/>
              <w:rPr>
                <w:rFonts w:cstheme="minorHAnsi"/>
                <w:sz w:val="20"/>
                <w:szCs w:val="20"/>
              </w:rPr>
            </w:pPr>
          </w:p>
        </w:tc>
      </w:tr>
      <w:tr w:rsidR="006A2E2A" w14:paraId="395E59C0" w14:textId="77777777" w:rsidTr="006A2E2A">
        <w:tc>
          <w:tcPr>
            <w:tcW w:w="990" w:type="dxa"/>
          </w:tcPr>
          <w:p w14:paraId="37CB9AF9" w14:textId="73A5EC92"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7</w:t>
            </w:r>
          </w:p>
        </w:tc>
        <w:tc>
          <w:tcPr>
            <w:tcW w:w="1620" w:type="dxa"/>
          </w:tcPr>
          <w:p w14:paraId="1905169B" w14:textId="3F71845E" w:rsidR="006A2E2A" w:rsidRDefault="006A2E2A" w:rsidP="009F1147">
            <w:pPr>
              <w:tabs>
                <w:tab w:val="center" w:pos="6480"/>
              </w:tabs>
              <w:autoSpaceDE w:val="0"/>
              <w:autoSpaceDN w:val="0"/>
              <w:adjustRightInd w:val="0"/>
              <w:rPr>
                <w:rFonts w:cs="SAS Monospace"/>
                <w:sz w:val="20"/>
                <w:szCs w:val="20"/>
              </w:rPr>
            </w:pPr>
            <w:proofErr w:type="spellStart"/>
            <w:r>
              <w:rPr>
                <w:rFonts w:cs="SAS Monospace"/>
                <w:sz w:val="20"/>
                <w:szCs w:val="20"/>
              </w:rPr>
              <w:t>race_blackNH</w:t>
            </w:r>
            <w:proofErr w:type="spellEnd"/>
          </w:p>
        </w:tc>
        <w:tc>
          <w:tcPr>
            <w:tcW w:w="5850" w:type="dxa"/>
          </w:tcPr>
          <w:p w14:paraId="7340EB1B" w14:textId="00EFD036" w:rsidR="006A2E2A" w:rsidRDefault="006A2E2A" w:rsidP="009F1147">
            <w:pPr>
              <w:tabs>
                <w:tab w:val="center" w:pos="6480"/>
              </w:tabs>
              <w:autoSpaceDE w:val="0"/>
              <w:autoSpaceDN w:val="0"/>
              <w:adjustRightInd w:val="0"/>
              <w:rPr>
                <w:rFonts w:cstheme="minorHAnsi"/>
                <w:sz w:val="20"/>
                <w:szCs w:val="20"/>
              </w:rPr>
            </w:pPr>
            <w:r>
              <w:rPr>
                <w:rFonts w:cstheme="minorHAnsi"/>
                <w:sz w:val="20"/>
                <w:szCs w:val="20"/>
              </w:rPr>
              <w:t>% non-Hispanic Black in census tract</w:t>
            </w:r>
          </w:p>
        </w:tc>
        <w:tc>
          <w:tcPr>
            <w:tcW w:w="2160" w:type="dxa"/>
          </w:tcPr>
          <w:p w14:paraId="1C8870DC" w14:textId="77777777" w:rsidR="006A2E2A" w:rsidRPr="003A3BF5" w:rsidRDefault="006A2E2A" w:rsidP="00FC79F5">
            <w:pPr>
              <w:pStyle w:val="ListParagraph"/>
              <w:ind w:left="0"/>
              <w:rPr>
                <w:rFonts w:cstheme="minorHAnsi"/>
                <w:sz w:val="20"/>
                <w:szCs w:val="20"/>
              </w:rPr>
            </w:pPr>
          </w:p>
        </w:tc>
      </w:tr>
      <w:tr w:rsidR="006A2E2A" w14:paraId="27B75ADE" w14:textId="77777777" w:rsidTr="006A2E2A">
        <w:tc>
          <w:tcPr>
            <w:tcW w:w="990" w:type="dxa"/>
          </w:tcPr>
          <w:p w14:paraId="0F9AC115" w14:textId="4025BAC2"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8</w:t>
            </w:r>
          </w:p>
        </w:tc>
        <w:tc>
          <w:tcPr>
            <w:tcW w:w="1620" w:type="dxa"/>
          </w:tcPr>
          <w:p w14:paraId="3EEDFF3F" w14:textId="027A8297" w:rsidR="006A2E2A" w:rsidRDefault="006A2E2A" w:rsidP="009F1147">
            <w:pPr>
              <w:tabs>
                <w:tab w:val="center" w:pos="6480"/>
              </w:tabs>
              <w:autoSpaceDE w:val="0"/>
              <w:autoSpaceDN w:val="0"/>
              <w:adjustRightInd w:val="0"/>
              <w:rPr>
                <w:rFonts w:cs="SAS Monospace"/>
                <w:sz w:val="20"/>
                <w:szCs w:val="20"/>
              </w:rPr>
            </w:pPr>
            <w:proofErr w:type="spellStart"/>
            <w:r>
              <w:rPr>
                <w:rFonts w:cs="SAS Monospace"/>
                <w:sz w:val="20"/>
                <w:szCs w:val="20"/>
              </w:rPr>
              <w:t>race_asianNH</w:t>
            </w:r>
            <w:proofErr w:type="spellEnd"/>
          </w:p>
        </w:tc>
        <w:tc>
          <w:tcPr>
            <w:tcW w:w="5850" w:type="dxa"/>
          </w:tcPr>
          <w:p w14:paraId="4B65EBB4" w14:textId="30F093BA" w:rsidR="006A2E2A" w:rsidRDefault="006A2E2A" w:rsidP="009F1147">
            <w:pPr>
              <w:tabs>
                <w:tab w:val="center" w:pos="6480"/>
              </w:tabs>
              <w:autoSpaceDE w:val="0"/>
              <w:autoSpaceDN w:val="0"/>
              <w:adjustRightInd w:val="0"/>
              <w:rPr>
                <w:rFonts w:cstheme="minorHAnsi"/>
                <w:sz w:val="20"/>
                <w:szCs w:val="20"/>
              </w:rPr>
            </w:pPr>
            <w:r>
              <w:rPr>
                <w:rFonts w:cstheme="minorHAnsi"/>
                <w:sz w:val="20"/>
                <w:szCs w:val="20"/>
              </w:rPr>
              <w:t>% non-Hispanic Asian in census tract</w:t>
            </w:r>
          </w:p>
        </w:tc>
        <w:tc>
          <w:tcPr>
            <w:tcW w:w="2160" w:type="dxa"/>
          </w:tcPr>
          <w:p w14:paraId="20102DBC" w14:textId="77777777" w:rsidR="006A2E2A" w:rsidRPr="003A3BF5" w:rsidRDefault="006A2E2A" w:rsidP="00FC79F5">
            <w:pPr>
              <w:pStyle w:val="ListParagraph"/>
              <w:ind w:left="0"/>
              <w:rPr>
                <w:rFonts w:cstheme="minorHAnsi"/>
                <w:sz w:val="20"/>
                <w:szCs w:val="20"/>
              </w:rPr>
            </w:pPr>
          </w:p>
        </w:tc>
      </w:tr>
      <w:tr w:rsidR="006A2E2A" w14:paraId="4C1B2DCD" w14:textId="77777777" w:rsidTr="006A2E2A">
        <w:tc>
          <w:tcPr>
            <w:tcW w:w="990" w:type="dxa"/>
          </w:tcPr>
          <w:p w14:paraId="78A32535" w14:textId="49B8F71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9</w:t>
            </w:r>
          </w:p>
        </w:tc>
        <w:tc>
          <w:tcPr>
            <w:tcW w:w="1620" w:type="dxa"/>
          </w:tcPr>
          <w:p w14:paraId="25D74FF3" w14:textId="57EB796E" w:rsidR="006A2E2A" w:rsidRDefault="006A2E2A" w:rsidP="009F1147">
            <w:pPr>
              <w:tabs>
                <w:tab w:val="center" w:pos="6480"/>
              </w:tabs>
              <w:autoSpaceDE w:val="0"/>
              <w:autoSpaceDN w:val="0"/>
              <w:adjustRightInd w:val="0"/>
              <w:rPr>
                <w:rFonts w:cs="SAS Monospace"/>
                <w:sz w:val="20"/>
                <w:szCs w:val="20"/>
              </w:rPr>
            </w:pPr>
            <w:r w:rsidRPr="003A3BF5">
              <w:rPr>
                <w:rFonts w:cs="SAS Monospace"/>
                <w:sz w:val="20"/>
                <w:szCs w:val="20"/>
              </w:rPr>
              <w:t>edge</w:t>
            </w:r>
          </w:p>
        </w:tc>
        <w:tc>
          <w:tcPr>
            <w:tcW w:w="5850" w:type="dxa"/>
          </w:tcPr>
          <w:p w14:paraId="5022F41E" w14:textId="7F9E4F84" w:rsidR="006A2E2A"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Indicator if the census tract is on the edge of the county definitions.  May want to exclude those near the edge at least for sensitivity analysis.</w:t>
            </w:r>
          </w:p>
        </w:tc>
        <w:tc>
          <w:tcPr>
            <w:tcW w:w="2160" w:type="dxa"/>
          </w:tcPr>
          <w:p w14:paraId="775D83FE" w14:textId="77777777" w:rsidR="006A2E2A" w:rsidRPr="003A3BF5" w:rsidRDefault="006A2E2A" w:rsidP="00FC79F5">
            <w:pPr>
              <w:rPr>
                <w:rFonts w:cstheme="minorHAnsi"/>
                <w:sz w:val="20"/>
                <w:szCs w:val="20"/>
              </w:rPr>
            </w:pPr>
            <w:r w:rsidRPr="003A3BF5">
              <w:rPr>
                <w:rFonts w:cstheme="minorHAnsi"/>
                <w:sz w:val="20"/>
                <w:szCs w:val="20"/>
              </w:rPr>
              <w:t>0 = Not on edge</w:t>
            </w:r>
          </w:p>
          <w:p w14:paraId="67FC10BE" w14:textId="599DB004" w:rsidR="006A2E2A" w:rsidRPr="003A3BF5" w:rsidRDefault="006A2E2A" w:rsidP="00FC79F5">
            <w:pPr>
              <w:pStyle w:val="ListParagraph"/>
              <w:ind w:left="0"/>
              <w:rPr>
                <w:rFonts w:cstheme="minorHAnsi"/>
                <w:sz w:val="20"/>
                <w:szCs w:val="20"/>
              </w:rPr>
            </w:pPr>
            <w:r w:rsidRPr="003A3BF5">
              <w:rPr>
                <w:rFonts w:cstheme="minorHAnsi"/>
                <w:sz w:val="20"/>
                <w:szCs w:val="20"/>
              </w:rPr>
              <w:t>1 = On edge</w:t>
            </w:r>
          </w:p>
        </w:tc>
      </w:tr>
      <w:tr w:rsidR="006A2E2A" w14:paraId="13857F3E" w14:textId="77777777" w:rsidTr="006A2E2A">
        <w:tc>
          <w:tcPr>
            <w:tcW w:w="990" w:type="dxa"/>
          </w:tcPr>
          <w:p w14:paraId="2E643BA8" w14:textId="036F392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10</w:t>
            </w:r>
          </w:p>
        </w:tc>
        <w:tc>
          <w:tcPr>
            <w:tcW w:w="1620" w:type="dxa"/>
          </w:tcPr>
          <w:p w14:paraId="565157AC" w14:textId="5CEF6507" w:rsidR="006A2E2A" w:rsidRPr="003A3BF5" w:rsidRDefault="006A2E2A" w:rsidP="009F1147">
            <w:pPr>
              <w:tabs>
                <w:tab w:val="center" w:pos="6480"/>
              </w:tabs>
              <w:autoSpaceDE w:val="0"/>
              <w:autoSpaceDN w:val="0"/>
              <w:adjustRightInd w:val="0"/>
              <w:rPr>
                <w:rFonts w:cs="SAS Monospace"/>
                <w:sz w:val="20"/>
                <w:szCs w:val="20"/>
              </w:rPr>
            </w:pPr>
            <w:proofErr w:type="spellStart"/>
            <w:r w:rsidRPr="003A3BF5">
              <w:rPr>
                <w:rFonts w:cs="Arial"/>
                <w:sz w:val="20"/>
                <w:szCs w:val="20"/>
              </w:rPr>
              <w:t>G_asi_rk</w:t>
            </w:r>
            <w:proofErr w:type="spellEnd"/>
          </w:p>
        </w:tc>
        <w:tc>
          <w:tcPr>
            <w:tcW w:w="5850" w:type="dxa"/>
          </w:tcPr>
          <w:p w14:paraId="099D51CE" w14:textId="6703A6AA"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Asian, using rook definition of neighbors</w:t>
            </w:r>
          </w:p>
        </w:tc>
        <w:tc>
          <w:tcPr>
            <w:tcW w:w="2160" w:type="dxa"/>
          </w:tcPr>
          <w:p w14:paraId="73580A06" w14:textId="77777777" w:rsidR="006A2E2A" w:rsidRPr="003A3BF5" w:rsidRDefault="006A2E2A" w:rsidP="00FC79F5">
            <w:pPr>
              <w:rPr>
                <w:rFonts w:cstheme="minorHAnsi"/>
                <w:sz w:val="20"/>
                <w:szCs w:val="20"/>
              </w:rPr>
            </w:pPr>
          </w:p>
        </w:tc>
      </w:tr>
      <w:tr w:rsidR="006A2E2A" w14:paraId="0C9E6084" w14:textId="77777777" w:rsidTr="006A2E2A">
        <w:tc>
          <w:tcPr>
            <w:tcW w:w="990" w:type="dxa"/>
          </w:tcPr>
          <w:p w14:paraId="56F463A5" w14:textId="32E9554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11</w:t>
            </w:r>
          </w:p>
        </w:tc>
        <w:tc>
          <w:tcPr>
            <w:tcW w:w="1620" w:type="dxa"/>
          </w:tcPr>
          <w:p w14:paraId="789F9052" w14:textId="3C79A73D"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p_asi_rk</w:t>
            </w:r>
            <w:proofErr w:type="spellEnd"/>
          </w:p>
        </w:tc>
        <w:tc>
          <w:tcPr>
            <w:tcW w:w="5850" w:type="dxa"/>
          </w:tcPr>
          <w:p w14:paraId="1C70A2C3" w14:textId="2211A135"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Asian, using rook definition of neighbors</w:t>
            </w:r>
          </w:p>
        </w:tc>
        <w:tc>
          <w:tcPr>
            <w:tcW w:w="2160" w:type="dxa"/>
          </w:tcPr>
          <w:p w14:paraId="2820C7D1" w14:textId="77777777" w:rsidR="006A2E2A" w:rsidRPr="003A3BF5" w:rsidRDefault="006A2E2A" w:rsidP="00FC79F5">
            <w:pPr>
              <w:rPr>
                <w:rFonts w:cstheme="minorHAnsi"/>
                <w:sz w:val="20"/>
                <w:szCs w:val="20"/>
              </w:rPr>
            </w:pPr>
          </w:p>
        </w:tc>
      </w:tr>
      <w:tr w:rsidR="006A2E2A" w14:paraId="3ECAC83C" w14:textId="77777777" w:rsidTr="006A2E2A">
        <w:tc>
          <w:tcPr>
            <w:tcW w:w="990" w:type="dxa"/>
          </w:tcPr>
          <w:p w14:paraId="54463BBC" w14:textId="0470733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12</w:t>
            </w:r>
          </w:p>
        </w:tc>
        <w:tc>
          <w:tcPr>
            <w:tcW w:w="1620" w:type="dxa"/>
          </w:tcPr>
          <w:p w14:paraId="256E792F" w14:textId="6900375A"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G_bla_rk</w:t>
            </w:r>
            <w:proofErr w:type="spellEnd"/>
          </w:p>
        </w:tc>
        <w:tc>
          <w:tcPr>
            <w:tcW w:w="5850" w:type="dxa"/>
          </w:tcPr>
          <w:p w14:paraId="1A2BCA68" w14:textId="48587101"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Black, using rook definition of neighbors</w:t>
            </w:r>
          </w:p>
        </w:tc>
        <w:tc>
          <w:tcPr>
            <w:tcW w:w="2160" w:type="dxa"/>
          </w:tcPr>
          <w:p w14:paraId="1D00B274" w14:textId="77777777" w:rsidR="006A2E2A" w:rsidRPr="003A3BF5" w:rsidRDefault="006A2E2A" w:rsidP="00FC79F5">
            <w:pPr>
              <w:rPr>
                <w:rFonts w:cstheme="minorHAnsi"/>
                <w:sz w:val="20"/>
                <w:szCs w:val="20"/>
              </w:rPr>
            </w:pPr>
          </w:p>
        </w:tc>
      </w:tr>
      <w:tr w:rsidR="006A2E2A" w14:paraId="6EE5F43D" w14:textId="77777777" w:rsidTr="006A2E2A">
        <w:tc>
          <w:tcPr>
            <w:tcW w:w="990" w:type="dxa"/>
          </w:tcPr>
          <w:p w14:paraId="2EE3D18B" w14:textId="06D7CD9C"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13</w:t>
            </w:r>
          </w:p>
        </w:tc>
        <w:tc>
          <w:tcPr>
            <w:tcW w:w="1620" w:type="dxa"/>
          </w:tcPr>
          <w:p w14:paraId="74EA8F7E" w14:textId="1FF7A07B"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p_bla_rk</w:t>
            </w:r>
            <w:proofErr w:type="spellEnd"/>
          </w:p>
        </w:tc>
        <w:tc>
          <w:tcPr>
            <w:tcW w:w="5850" w:type="dxa"/>
          </w:tcPr>
          <w:p w14:paraId="658FD858" w14:textId="79D45B1B"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Black, using rook definition of neighbors</w:t>
            </w:r>
          </w:p>
        </w:tc>
        <w:tc>
          <w:tcPr>
            <w:tcW w:w="2160" w:type="dxa"/>
          </w:tcPr>
          <w:p w14:paraId="5A6BA6AC" w14:textId="77777777" w:rsidR="006A2E2A" w:rsidRPr="003A3BF5" w:rsidRDefault="006A2E2A" w:rsidP="00FC79F5">
            <w:pPr>
              <w:rPr>
                <w:rFonts w:cstheme="minorHAnsi"/>
                <w:sz w:val="20"/>
                <w:szCs w:val="20"/>
              </w:rPr>
            </w:pPr>
          </w:p>
        </w:tc>
      </w:tr>
      <w:tr w:rsidR="006A2E2A" w14:paraId="3986A1EE" w14:textId="77777777" w:rsidTr="006A2E2A">
        <w:tc>
          <w:tcPr>
            <w:tcW w:w="990" w:type="dxa"/>
          </w:tcPr>
          <w:p w14:paraId="18A2A903" w14:textId="7CFF057E"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14</w:t>
            </w:r>
          </w:p>
        </w:tc>
        <w:tc>
          <w:tcPr>
            <w:tcW w:w="1620" w:type="dxa"/>
          </w:tcPr>
          <w:p w14:paraId="333A990E" w14:textId="5E82B167"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G_his_rk</w:t>
            </w:r>
            <w:proofErr w:type="spellEnd"/>
          </w:p>
        </w:tc>
        <w:tc>
          <w:tcPr>
            <w:tcW w:w="5850" w:type="dxa"/>
          </w:tcPr>
          <w:p w14:paraId="6A0E7411" w14:textId="56DC9535"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Hispanic, using rook definition of neighbors</w:t>
            </w:r>
          </w:p>
        </w:tc>
        <w:tc>
          <w:tcPr>
            <w:tcW w:w="2160" w:type="dxa"/>
          </w:tcPr>
          <w:p w14:paraId="4787A30A" w14:textId="77777777" w:rsidR="006A2E2A" w:rsidRPr="003A3BF5" w:rsidRDefault="006A2E2A" w:rsidP="00FC79F5">
            <w:pPr>
              <w:rPr>
                <w:rFonts w:cstheme="minorHAnsi"/>
                <w:sz w:val="20"/>
                <w:szCs w:val="20"/>
              </w:rPr>
            </w:pPr>
          </w:p>
        </w:tc>
      </w:tr>
      <w:tr w:rsidR="006A2E2A" w14:paraId="735BB43E" w14:textId="77777777" w:rsidTr="006A2E2A">
        <w:tc>
          <w:tcPr>
            <w:tcW w:w="990" w:type="dxa"/>
          </w:tcPr>
          <w:p w14:paraId="332FDF6B" w14:textId="201EB3D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15</w:t>
            </w:r>
          </w:p>
        </w:tc>
        <w:tc>
          <w:tcPr>
            <w:tcW w:w="1620" w:type="dxa"/>
          </w:tcPr>
          <w:p w14:paraId="4E9AD287" w14:textId="54E55E86"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p_his_rk</w:t>
            </w:r>
            <w:proofErr w:type="spellEnd"/>
          </w:p>
        </w:tc>
        <w:tc>
          <w:tcPr>
            <w:tcW w:w="5850" w:type="dxa"/>
          </w:tcPr>
          <w:p w14:paraId="248B69E6" w14:textId="7E680F58"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Hispanic, using rook definition of neighbors</w:t>
            </w:r>
          </w:p>
        </w:tc>
        <w:tc>
          <w:tcPr>
            <w:tcW w:w="2160" w:type="dxa"/>
          </w:tcPr>
          <w:p w14:paraId="136A62C4" w14:textId="77777777" w:rsidR="006A2E2A" w:rsidRPr="003A3BF5" w:rsidRDefault="006A2E2A" w:rsidP="00FC79F5">
            <w:pPr>
              <w:rPr>
                <w:rFonts w:cstheme="minorHAnsi"/>
                <w:sz w:val="20"/>
                <w:szCs w:val="20"/>
              </w:rPr>
            </w:pPr>
          </w:p>
        </w:tc>
      </w:tr>
      <w:tr w:rsidR="006A2E2A" w14:paraId="317CA1E5" w14:textId="77777777" w:rsidTr="006A2E2A">
        <w:tc>
          <w:tcPr>
            <w:tcW w:w="990" w:type="dxa"/>
          </w:tcPr>
          <w:p w14:paraId="783151AE" w14:textId="155B89B0"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16</w:t>
            </w:r>
          </w:p>
        </w:tc>
        <w:tc>
          <w:tcPr>
            <w:tcW w:w="1620" w:type="dxa"/>
          </w:tcPr>
          <w:p w14:paraId="17177627" w14:textId="73BDE0F4"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G_whi_rk</w:t>
            </w:r>
            <w:proofErr w:type="spellEnd"/>
          </w:p>
        </w:tc>
        <w:tc>
          <w:tcPr>
            <w:tcW w:w="5850" w:type="dxa"/>
          </w:tcPr>
          <w:p w14:paraId="7A1C65E5" w14:textId="566BDD6F"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White, using rook definition of neighbors</w:t>
            </w:r>
          </w:p>
        </w:tc>
        <w:tc>
          <w:tcPr>
            <w:tcW w:w="2160" w:type="dxa"/>
          </w:tcPr>
          <w:p w14:paraId="2E7DF715" w14:textId="77777777" w:rsidR="006A2E2A" w:rsidRPr="003A3BF5" w:rsidRDefault="006A2E2A" w:rsidP="00FC79F5">
            <w:pPr>
              <w:rPr>
                <w:rFonts w:cstheme="minorHAnsi"/>
                <w:sz w:val="20"/>
                <w:szCs w:val="20"/>
              </w:rPr>
            </w:pPr>
          </w:p>
        </w:tc>
      </w:tr>
      <w:tr w:rsidR="006A2E2A" w14:paraId="04A3F52F" w14:textId="77777777" w:rsidTr="006A2E2A">
        <w:tc>
          <w:tcPr>
            <w:tcW w:w="990" w:type="dxa"/>
          </w:tcPr>
          <w:p w14:paraId="72F55480" w14:textId="2101CE77"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17</w:t>
            </w:r>
          </w:p>
        </w:tc>
        <w:tc>
          <w:tcPr>
            <w:tcW w:w="1620" w:type="dxa"/>
          </w:tcPr>
          <w:p w14:paraId="48B7A1C5" w14:textId="5D5A5C28"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p_whi_rk</w:t>
            </w:r>
            <w:proofErr w:type="spellEnd"/>
          </w:p>
        </w:tc>
        <w:tc>
          <w:tcPr>
            <w:tcW w:w="5850" w:type="dxa"/>
          </w:tcPr>
          <w:p w14:paraId="47C5D25D" w14:textId="6E8E5BD2"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White, using rook definition of neighbors</w:t>
            </w:r>
          </w:p>
        </w:tc>
        <w:tc>
          <w:tcPr>
            <w:tcW w:w="2160" w:type="dxa"/>
          </w:tcPr>
          <w:p w14:paraId="0B2424C9" w14:textId="77777777" w:rsidR="006A2E2A" w:rsidRPr="003A3BF5" w:rsidRDefault="006A2E2A" w:rsidP="00FC79F5">
            <w:pPr>
              <w:rPr>
                <w:rFonts w:cstheme="minorHAnsi"/>
                <w:sz w:val="20"/>
                <w:szCs w:val="20"/>
              </w:rPr>
            </w:pPr>
          </w:p>
        </w:tc>
      </w:tr>
      <w:tr w:rsidR="006A2E2A" w14:paraId="677AC4C0" w14:textId="77777777" w:rsidTr="006A2E2A">
        <w:tc>
          <w:tcPr>
            <w:tcW w:w="990" w:type="dxa"/>
          </w:tcPr>
          <w:p w14:paraId="3EEE31CD" w14:textId="3BE1B64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18</w:t>
            </w:r>
          </w:p>
        </w:tc>
        <w:tc>
          <w:tcPr>
            <w:tcW w:w="1620" w:type="dxa"/>
          </w:tcPr>
          <w:p w14:paraId="52F969E0" w14:textId="5D19B53A"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G_asi_1mi</w:t>
            </w:r>
          </w:p>
        </w:tc>
        <w:tc>
          <w:tcPr>
            <w:tcW w:w="5850" w:type="dxa"/>
          </w:tcPr>
          <w:p w14:paraId="455F9F80" w14:textId="3E4A5533"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Asian, using 1-mile definition of neighbors</w:t>
            </w:r>
          </w:p>
        </w:tc>
        <w:tc>
          <w:tcPr>
            <w:tcW w:w="2160" w:type="dxa"/>
          </w:tcPr>
          <w:p w14:paraId="0076C546" w14:textId="77777777" w:rsidR="006A2E2A" w:rsidRPr="003A3BF5" w:rsidRDefault="006A2E2A" w:rsidP="00FC79F5">
            <w:pPr>
              <w:rPr>
                <w:rFonts w:cstheme="minorHAnsi"/>
                <w:sz w:val="20"/>
                <w:szCs w:val="20"/>
              </w:rPr>
            </w:pPr>
          </w:p>
        </w:tc>
      </w:tr>
      <w:tr w:rsidR="006A2E2A" w14:paraId="14F8324A" w14:textId="77777777" w:rsidTr="006A2E2A">
        <w:tc>
          <w:tcPr>
            <w:tcW w:w="990" w:type="dxa"/>
          </w:tcPr>
          <w:p w14:paraId="6AC9C01C" w14:textId="10AE055F"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19</w:t>
            </w:r>
          </w:p>
        </w:tc>
        <w:tc>
          <w:tcPr>
            <w:tcW w:w="1620" w:type="dxa"/>
          </w:tcPr>
          <w:p w14:paraId="58DBD527" w14:textId="7F10C1BC"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p_asi_1mi</w:t>
            </w:r>
          </w:p>
        </w:tc>
        <w:tc>
          <w:tcPr>
            <w:tcW w:w="5850" w:type="dxa"/>
          </w:tcPr>
          <w:p w14:paraId="048D1110" w14:textId="40E53A4A"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Asian, using 1-mile definition of neighbors</w:t>
            </w:r>
          </w:p>
        </w:tc>
        <w:tc>
          <w:tcPr>
            <w:tcW w:w="2160" w:type="dxa"/>
          </w:tcPr>
          <w:p w14:paraId="32D448C3" w14:textId="77777777" w:rsidR="006A2E2A" w:rsidRPr="003A3BF5" w:rsidRDefault="006A2E2A" w:rsidP="00FC79F5">
            <w:pPr>
              <w:rPr>
                <w:rFonts w:cstheme="minorHAnsi"/>
                <w:sz w:val="20"/>
                <w:szCs w:val="20"/>
              </w:rPr>
            </w:pPr>
          </w:p>
        </w:tc>
      </w:tr>
      <w:tr w:rsidR="006A2E2A" w14:paraId="23525693" w14:textId="77777777" w:rsidTr="006A2E2A">
        <w:tc>
          <w:tcPr>
            <w:tcW w:w="990" w:type="dxa"/>
          </w:tcPr>
          <w:p w14:paraId="5F86D25E" w14:textId="28D01C3F"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20</w:t>
            </w:r>
          </w:p>
        </w:tc>
        <w:tc>
          <w:tcPr>
            <w:tcW w:w="1620" w:type="dxa"/>
          </w:tcPr>
          <w:p w14:paraId="52414048" w14:textId="52D8645E"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G_bla_1mi</w:t>
            </w:r>
          </w:p>
        </w:tc>
        <w:tc>
          <w:tcPr>
            <w:tcW w:w="5850" w:type="dxa"/>
          </w:tcPr>
          <w:p w14:paraId="2C4BE5B8" w14:textId="528F4EED"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Black, using 1-mile definition of neighbors</w:t>
            </w:r>
          </w:p>
        </w:tc>
        <w:tc>
          <w:tcPr>
            <w:tcW w:w="2160" w:type="dxa"/>
          </w:tcPr>
          <w:p w14:paraId="76B89C55" w14:textId="77777777" w:rsidR="006A2E2A" w:rsidRPr="003A3BF5" w:rsidRDefault="006A2E2A" w:rsidP="00FC79F5">
            <w:pPr>
              <w:rPr>
                <w:rFonts w:cstheme="minorHAnsi"/>
                <w:sz w:val="20"/>
                <w:szCs w:val="20"/>
              </w:rPr>
            </w:pPr>
          </w:p>
        </w:tc>
      </w:tr>
      <w:tr w:rsidR="006A2E2A" w14:paraId="406A5C9F" w14:textId="77777777" w:rsidTr="006A2E2A">
        <w:tc>
          <w:tcPr>
            <w:tcW w:w="990" w:type="dxa"/>
          </w:tcPr>
          <w:p w14:paraId="3F33DA91" w14:textId="4B70178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21</w:t>
            </w:r>
          </w:p>
        </w:tc>
        <w:tc>
          <w:tcPr>
            <w:tcW w:w="1620" w:type="dxa"/>
          </w:tcPr>
          <w:p w14:paraId="4354D281" w14:textId="26427E3D"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p_bla_1mi</w:t>
            </w:r>
          </w:p>
        </w:tc>
        <w:tc>
          <w:tcPr>
            <w:tcW w:w="5850" w:type="dxa"/>
          </w:tcPr>
          <w:p w14:paraId="281C72EF" w14:textId="5FF1C3D9"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Black, using 1-mile definition of neighbors</w:t>
            </w:r>
          </w:p>
        </w:tc>
        <w:tc>
          <w:tcPr>
            <w:tcW w:w="2160" w:type="dxa"/>
          </w:tcPr>
          <w:p w14:paraId="66720D05" w14:textId="77777777" w:rsidR="006A2E2A" w:rsidRPr="003A3BF5" w:rsidRDefault="006A2E2A" w:rsidP="00FC79F5">
            <w:pPr>
              <w:rPr>
                <w:rFonts w:cstheme="minorHAnsi"/>
                <w:sz w:val="20"/>
                <w:szCs w:val="20"/>
              </w:rPr>
            </w:pPr>
          </w:p>
        </w:tc>
      </w:tr>
      <w:tr w:rsidR="006A2E2A" w14:paraId="37D36FBA" w14:textId="77777777" w:rsidTr="006A2E2A">
        <w:tc>
          <w:tcPr>
            <w:tcW w:w="990" w:type="dxa"/>
          </w:tcPr>
          <w:p w14:paraId="6351E331" w14:textId="4571FCD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22</w:t>
            </w:r>
          </w:p>
        </w:tc>
        <w:tc>
          <w:tcPr>
            <w:tcW w:w="1620" w:type="dxa"/>
          </w:tcPr>
          <w:p w14:paraId="5785ABEF" w14:textId="40FD04B7"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G_his_1mi</w:t>
            </w:r>
          </w:p>
        </w:tc>
        <w:tc>
          <w:tcPr>
            <w:tcW w:w="5850" w:type="dxa"/>
          </w:tcPr>
          <w:p w14:paraId="3E21E78F" w14:textId="45AAC70F"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Hispanic, using 1-mile definition of neighbors</w:t>
            </w:r>
          </w:p>
        </w:tc>
        <w:tc>
          <w:tcPr>
            <w:tcW w:w="2160" w:type="dxa"/>
          </w:tcPr>
          <w:p w14:paraId="35BD3CD4" w14:textId="77777777" w:rsidR="006A2E2A" w:rsidRPr="003A3BF5" w:rsidRDefault="006A2E2A" w:rsidP="00FC79F5">
            <w:pPr>
              <w:rPr>
                <w:rFonts w:cstheme="minorHAnsi"/>
                <w:sz w:val="20"/>
                <w:szCs w:val="20"/>
              </w:rPr>
            </w:pPr>
          </w:p>
        </w:tc>
      </w:tr>
      <w:tr w:rsidR="006A2E2A" w14:paraId="6217C788" w14:textId="77777777" w:rsidTr="006A2E2A">
        <w:tc>
          <w:tcPr>
            <w:tcW w:w="990" w:type="dxa"/>
          </w:tcPr>
          <w:p w14:paraId="46E31903" w14:textId="454EA78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23</w:t>
            </w:r>
          </w:p>
        </w:tc>
        <w:tc>
          <w:tcPr>
            <w:tcW w:w="1620" w:type="dxa"/>
          </w:tcPr>
          <w:p w14:paraId="11437484" w14:textId="757D372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p_his_1mi</w:t>
            </w:r>
          </w:p>
        </w:tc>
        <w:tc>
          <w:tcPr>
            <w:tcW w:w="5850" w:type="dxa"/>
          </w:tcPr>
          <w:p w14:paraId="63D9990F" w14:textId="5FB91ECB"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Hispanic, using 1-mile definition of neighbors</w:t>
            </w:r>
          </w:p>
        </w:tc>
        <w:tc>
          <w:tcPr>
            <w:tcW w:w="2160" w:type="dxa"/>
          </w:tcPr>
          <w:p w14:paraId="2DD1BBA0" w14:textId="77777777" w:rsidR="006A2E2A" w:rsidRPr="003A3BF5" w:rsidRDefault="006A2E2A" w:rsidP="00FC79F5">
            <w:pPr>
              <w:rPr>
                <w:rFonts w:cstheme="minorHAnsi"/>
                <w:sz w:val="20"/>
                <w:szCs w:val="20"/>
              </w:rPr>
            </w:pPr>
          </w:p>
        </w:tc>
      </w:tr>
      <w:tr w:rsidR="006A2E2A" w14:paraId="09D9E620" w14:textId="77777777" w:rsidTr="006A2E2A">
        <w:tc>
          <w:tcPr>
            <w:tcW w:w="990" w:type="dxa"/>
          </w:tcPr>
          <w:p w14:paraId="311F62CD" w14:textId="075E0D7B"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24</w:t>
            </w:r>
          </w:p>
        </w:tc>
        <w:tc>
          <w:tcPr>
            <w:tcW w:w="1620" w:type="dxa"/>
          </w:tcPr>
          <w:p w14:paraId="1C1E2B31" w14:textId="3E37CF7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G_whi_1mi</w:t>
            </w:r>
          </w:p>
        </w:tc>
        <w:tc>
          <w:tcPr>
            <w:tcW w:w="5850" w:type="dxa"/>
          </w:tcPr>
          <w:p w14:paraId="4C6BACAC" w14:textId="7E1F19BD"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White, using 1-mile definition of neighbors</w:t>
            </w:r>
          </w:p>
        </w:tc>
        <w:tc>
          <w:tcPr>
            <w:tcW w:w="2160" w:type="dxa"/>
          </w:tcPr>
          <w:p w14:paraId="59CC3353" w14:textId="77777777" w:rsidR="006A2E2A" w:rsidRPr="003A3BF5" w:rsidRDefault="006A2E2A" w:rsidP="00FC79F5">
            <w:pPr>
              <w:rPr>
                <w:rFonts w:cstheme="minorHAnsi"/>
                <w:sz w:val="20"/>
                <w:szCs w:val="20"/>
              </w:rPr>
            </w:pPr>
          </w:p>
        </w:tc>
      </w:tr>
      <w:tr w:rsidR="006A2E2A" w14:paraId="3DB1899E" w14:textId="77777777" w:rsidTr="006A2E2A">
        <w:tc>
          <w:tcPr>
            <w:tcW w:w="990" w:type="dxa"/>
          </w:tcPr>
          <w:p w14:paraId="2C4CF75C" w14:textId="5EF9539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25</w:t>
            </w:r>
          </w:p>
        </w:tc>
        <w:tc>
          <w:tcPr>
            <w:tcW w:w="1620" w:type="dxa"/>
          </w:tcPr>
          <w:p w14:paraId="1FBA4623" w14:textId="1E08452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p_whi_1mi</w:t>
            </w:r>
          </w:p>
        </w:tc>
        <w:tc>
          <w:tcPr>
            <w:tcW w:w="5850" w:type="dxa"/>
          </w:tcPr>
          <w:p w14:paraId="48216BA8" w14:textId="3E51FB0E"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White, using 1-mile definition of neighbors</w:t>
            </w:r>
          </w:p>
        </w:tc>
        <w:tc>
          <w:tcPr>
            <w:tcW w:w="2160" w:type="dxa"/>
          </w:tcPr>
          <w:p w14:paraId="452BD5B0" w14:textId="77777777" w:rsidR="006A2E2A" w:rsidRPr="003A3BF5" w:rsidRDefault="006A2E2A" w:rsidP="00FC79F5">
            <w:pPr>
              <w:rPr>
                <w:rFonts w:cstheme="minorHAnsi"/>
                <w:sz w:val="20"/>
                <w:szCs w:val="20"/>
              </w:rPr>
            </w:pPr>
          </w:p>
        </w:tc>
      </w:tr>
      <w:tr w:rsidR="006A2E2A" w14:paraId="02A33043" w14:textId="77777777" w:rsidTr="006A2E2A">
        <w:tc>
          <w:tcPr>
            <w:tcW w:w="990" w:type="dxa"/>
          </w:tcPr>
          <w:p w14:paraId="326A73E0" w14:textId="497F3D40"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lastRenderedPageBreak/>
              <w:t>26</w:t>
            </w:r>
          </w:p>
        </w:tc>
        <w:tc>
          <w:tcPr>
            <w:tcW w:w="1620" w:type="dxa"/>
          </w:tcPr>
          <w:p w14:paraId="38EC26FA" w14:textId="315DA1F6"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G_asi_2mi</w:t>
            </w:r>
          </w:p>
        </w:tc>
        <w:tc>
          <w:tcPr>
            <w:tcW w:w="5850" w:type="dxa"/>
          </w:tcPr>
          <w:p w14:paraId="56A00D0D" w14:textId="701B1F73"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Asian, using 2-mile definition of neighbors</w:t>
            </w:r>
          </w:p>
        </w:tc>
        <w:tc>
          <w:tcPr>
            <w:tcW w:w="2160" w:type="dxa"/>
          </w:tcPr>
          <w:p w14:paraId="55218975" w14:textId="77777777" w:rsidR="006A2E2A" w:rsidRPr="003A3BF5" w:rsidRDefault="006A2E2A" w:rsidP="00FC79F5">
            <w:pPr>
              <w:rPr>
                <w:rFonts w:cstheme="minorHAnsi"/>
                <w:sz w:val="20"/>
                <w:szCs w:val="20"/>
              </w:rPr>
            </w:pPr>
          </w:p>
        </w:tc>
      </w:tr>
      <w:tr w:rsidR="006A2E2A" w14:paraId="43A8B7CA" w14:textId="77777777" w:rsidTr="006A2E2A">
        <w:tc>
          <w:tcPr>
            <w:tcW w:w="990" w:type="dxa"/>
          </w:tcPr>
          <w:p w14:paraId="3E8E2131" w14:textId="3A9F9AAC"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27</w:t>
            </w:r>
          </w:p>
        </w:tc>
        <w:tc>
          <w:tcPr>
            <w:tcW w:w="1620" w:type="dxa"/>
          </w:tcPr>
          <w:p w14:paraId="6D9C1E01" w14:textId="17FD8D9B"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p_asi_2mi</w:t>
            </w:r>
          </w:p>
        </w:tc>
        <w:tc>
          <w:tcPr>
            <w:tcW w:w="5850" w:type="dxa"/>
          </w:tcPr>
          <w:p w14:paraId="1937F7F7" w14:textId="752E33F8"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Asian, using 2-mile definition of neighbors</w:t>
            </w:r>
          </w:p>
        </w:tc>
        <w:tc>
          <w:tcPr>
            <w:tcW w:w="2160" w:type="dxa"/>
          </w:tcPr>
          <w:p w14:paraId="13306BEA" w14:textId="77777777" w:rsidR="006A2E2A" w:rsidRPr="003A3BF5" w:rsidRDefault="006A2E2A" w:rsidP="00FC79F5">
            <w:pPr>
              <w:rPr>
                <w:rFonts w:cstheme="minorHAnsi"/>
                <w:sz w:val="20"/>
                <w:szCs w:val="20"/>
              </w:rPr>
            </w:pPr>
          </w:p>
        </w:tc>
      </w:tr>
      <w:tr w:rsidR="006A2E2A" w14:paraId="5E4379C3" w14:textId="77777777" w:rsidTr="006A2E2A">
        <w:tc>
          <w:tcPr>
            <w:tcW w:w="990" w:type="dxa"/>
          </w:tcPr>
          <w:p w14:paraId="697D789E" w14:textId="5DA31E6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28</w:t>
            </w:r>
          </w:p>
        </w:tc>
        <w:tc>
          <w:tcPr>
            <w:tcW w:w="1620" w:type="dxa"/>
          </w:tcPr>
          <w:p w14:paraId="0D893D10" w14:textId="55D168B2"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G_bla_2mi</w:t>
            </w:r>
          </w:p>
        </w:tc>
        <w:tc>
          <w:tcPr>
            <w:tcW w:w="5850" w:type="dxa"/>
          </w:tcPr>
          <w:p w14:paraId="64F850D3" w14:textId="5DAA5F5C"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Black, using 2-mile definition of neighbors</w:t>
            </w:r>
          </w:p>
        </w:tc>
        <w:tc>
          <w:tcPr>
            <w:tcW w:w="2160" w:type="dxa"/>
          </w:tcPr>
          <w:p w14:paraId="25418978" w14:textId="77777777" w:rsidR="006A2E2A" w:rsidRPr="003A3BF5" w:rsidRDefault="006A2E2A" w:rsidP="00FC79F5">
            <w:pPr>
              <w:rPr>
                <w:rFonts w:cstheme="minorHAnsi"/>
                <w:sz w:val="20"/>
                <w:szCs w:val="20"/>
              </w:rPr>
            </w:pPr>
          </w:p>
        </w:tc>
      </w:tr>
      <w:tr w:rsidR="006A2E2A" w14:paraId="065FD895" w14:textId="77777777" w:rsidTr="006A2E2A">
        <w:tc>
          <w:tcPr>
            <w:tcW w:w="990" w:type="dxa"/>
          </w:tcPr>
          <w:p w14:paraId="643C2C61" w14:textId="260474E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29</w:t>
            </w:r>
          </w:p>
        </w:tc>
        <w:tc>
          <w:tcPr>
            <w:tcW w:w="1620" w:type="dxa"/>
          </w:tcPr>
          <w:p w14:paraId="737F6598" w14:textId="1405217A"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p_bla_2mi</w:t>
            </w:r>
          </w:p>
        </w:tc>
        <w:tc>
          <w:tcPr>
            <w:tcW w:w="5850" w:type="dxa"/>
          </w:tcPr>
          <w:p w14:paraId="796968AF" w14:textId="23E20636"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Black, using 2-mile definition of neighbors</w:t>
            </w:r>
          </w:p>
        </w:tc>
        <w:tc>
          <w:tcPr>
            <w:tcW w:w="2160" w:type="dxa"/>
          </w:tcPr>
          <w:p w14:paraId="5BE1F423" w14:textId="77777777" w:rsidR="006A2E2A" w:rsidRPr="003A3BF5" w:rsidRDefault="006A2E2A" w:rsidP="00FC79F5">
            <w:pPr>
              <w:rPr>
                <w:rFonts w:cstheme="minorHAnsi"/>
                <w:sz w:val="20"/>
                <w:szCs w:val="20"/>
              </w:rPr>
            </w:pPr>
          </w:p>
        </w:tc>
      </w:tr>
      <w:tr w:rsidR="006A2E2A" w14:paraId="144BA968" w14:textId="77777777" w:rsidTr="006A2E2A">
        <w:tc>
          <w:tcPr>
            <w:tcW w:w="990" w:type="dxa"/>
          </w:tcPr>
          <w:p w14:paraId="3739AFC8" w14:textId="06A49EF6"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30</w:t>
            </w:r>
          </w:p>
        </w:tc>
        <w:tc>
          <w:tcPr>
            <w:tcW w:w="1620" w:type="dxa"/>
          </w:tcPr>
          <w:p w14:paraId="3B196366" w14:textId="7472EE60"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G_his_2mi</w:t>
            </w:r>
          </w:p>
        </w:tc>
        <w:tc>
          <w:tcPr>
            <w:tcW w:w="5850" w:type="dxa"/>
          </w:tcPr>
          <w:p w14:paraId="58070E6E" w14:textId="782FBCC0"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Hispanic, using 2-mile definition of neighbors</w:t>
            </w:r>
          </w:p>
        </w:tc>
        <w:tc>
          <w:tcPr>
            <w:tcW w:w="2160" w:type="dxa"/>
          </w:tcPr>
          <w:p w14:paraId="21C16BA7" w14:textId="77777777" w:rsidR="006A2E2A" w:rsidRPr="003A3BF5" w:rsidRDefault="006A2E2A" w:rsidP="00FC79F5">
            <w:pPr>
              <w:rPr>
                <w:rFonts w:cstheme="minorHAnsi"/>
                <w:sz w:val="20"/>
                <w:szCs w:val="20"/>
              </w:rPr>
            </w:pPr>
          </w:p>
        </w:tc>
      </w:tr>
      <w:tr w:rsidR="006A2E2A" w14:paraId="54BCB1D3" w14:textId="77777777" w:rsidTr="006A2E2A">
        <w:tc>
          <w:tcPr>
            <w:tcW w:w="990" w:type="dxa"/>
          </w:tcPr>
          <w:p w14:paraId="0798F989" w14:textId="65FED8E5"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31</w:t>
            </w:r>
          </w:p>
        </w:tc>
        <w:tc>
          <w:tcPr>
            <w:tcW w:w="1620" w:type="dxa"/>
          </w:tcPr>
          <w:p w14:paraId="12A9BAF7" w14:textId="7CD3C2F2"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p_his_2mi</w:t>
            </w:r>
          </w:p>
        </w:tc>
        <w:tc>
          <w:tcPr>
            <w:tcW w:w="5850" w:type="dxa"/>
          </w:tcPr>
          <w:p w14:paraId="14764011" w14:textId="62EAC47C"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Hispanic, using 2-mile definition of neighbors</w:t>
            </w:r>
          </w:p>
        </w:tc>
        <w:tc>
          <w:tcPr>
            <w:tcW w:w="2160" w:type="dxa"/>
          </w:tcPr>
          <w:p w14:paraId="178497B5" w14:textId="77777777" w:rsidR="006A2E2A" w:rsidRPr="003A3BF5" w:rsidRDefault="006A2E2A" w:rsidP="00FC79F5">
            <w:pPr>
              <w:rPr>
                <w:rFonts w:cstheme="minorHAnsi"/>
                <w:sz w:val="20"/>
                <w:szCs w:val="20"/>
              </w:rPr>
            </w:pPr>
          </w:p>
        </w:tc>
      </w:tr>
      <w:tr w:rsidR="006A2E2A" w14:paraId="3363DDBC" w14:textId="77777777" w:rsidTr="006A2E2A">
        <w:tc>
          <w:tcPr>
            <w:tcW w:w="990" w:type="dxa"/>
          </w:tcPr>
          <w:p w14:paraId="34A435D4" w14:textId="193E4CAA"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32</w:t>
            </w:r>
          </w:p>
        </w:tc>
        <w:tc>
          <w:tcPr>
            <w:tcW w:w="1620" w:type="dxa"/>
          </w:tcPr>
          <w:p w14:paraId="1AB1C64F" w14:textId="060FE7A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G_whi_2mi</w:t>
            </w:r>
          </w:p>
        </w:tc>
        <w:tc>
          <w:tcPr>
            <w:tcW w:w="5850" w:type="dxa"/>
          </w:tcPr>
          <w:p w14:paraId="31117255" w14:textId="2B36DFF7"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White, using 2-mile definition of neighbors</w:t>
            </w:r>
          </w:p>
        </w:tc>
        <w:tc>
          <w:tcPr>
            <w:tcW w:w="2160" w:type="dxa"/>
          </w:tcPr>
          <w:p w14:paraId="055BF21C" w14:textId="77777777" w:rsidR="006A2E2A" w:rsidRPr="003A3BF5" w:rsidRDefault="006A2E2A" w:rsidP="00FC79F5">
            <w:pPr>
              <w:rPr>
                <w:rFonts w:cstheme="minorHAnsi"/>
                <w:sz w:val="20"/>
                <w:szCs w:val="20"/>
              </w:rPr>
            </w:pPr>
          </w:p>
        </w:tc>
      </w:tr>
      <w:tr w:rsidR="006A2E2A" w14:paraId="6032D0E2" w14:textId="77777777" w:rsidTr="006A2E2A">
        <w:tc>
          <w:tcPr>
            <w:tcW w:w="990" w:type="dxa"/>
          </w:tcPr>
          <w:p w14:paraId="25F32DD1" w14:textId="18845D9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33</w:t>
            </w:r>
          </w:p>
        </w:tc>
        <w:tc>
          <w:tcPr>
            <w:tcW w:w="1620" w:type="dxa"/>
          </w:tcPr>
          <w:p w14:paraId="7D31721B" w14:textId="290774D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p_whi_2mi</w:t>
            </w:r>
          </w:p>
        </w:tc>
        <w:tc>
          <w:tcPr>
            <w:tcW w:w="5850" w:type="dxa"/>
          </w:tcPr>
          <w:p w14:paraId="6CF36513" w14:textId="1E1A8080"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White, using 2-mile definition of neighbors</w:t>
            </w:r>
          </w:p>
        </w:tc>
        <w:tc>
          <w:tcPr>
            <w:tcW w:w="2160" w:type="dxa"/>
          </w:tcPr>
          <w:p w14:paraId="50798010" w14:textId="77777777" w:rsidR="006A2E2A" w:rsidRPr="003A3BF5" w:rsidRDefault="006A2E2A" w:rsidP="00FC79F5">
            <w:pPr>
              <w:rPr>
                <w:rFonts w:cstheme="minorHAnsi"/>
                <w:sz w:val="20"/>
                <w:szCs w:val="20"/>
              </w:rPr>
            </w:pPr>
          </w:p>
        </w:tc>
      </w:tr>
      <w:tr w:rsidR="006A2E2A" w14:paraId="792418DF" w14:textId="77777777" w:rsidTr="006A2E2A">
        <w:tc>
          <w:tcPr>
            <w:tcW w:w="990" w:type="dxa"/>
          </w:tcPr>
          <w:p w14:paraId="7D2FA9F3" w14:textId="78DB123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34</w:t>
            </w:r>
          </w:p>
        </w:tc>
        <w:tc>
          <w:tcPr>
            <w:tcW w:w="1620" w:type="dxa"/>
          </w:tcPr>
          <w:p w14:paraId="2897C691" w14:textId="0756440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G_asi_1in</w:t>
            </w:r>
          </w:p>
        </w:tc>
        <w:tc>
          <w:tcPr>
            <w:tcW w:w="5850" w:type="dxa"/>
          </w:tcPr>
          <w:p w14:paraId="61A962BE" w14:textId="137BE8F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Asian, using 1-mile inverse weighted definition of neighbors</w:t>
            </w:r>
          </w:p>
        </w:tc>
        <w:tc>
          <w:tcPr>
            <w:tcW w:w="2160" w:type="dxa"/>
          </w:tcPr>
          <w:p w14:paraId="3A3E0A76" w14:textId="77777777" w:rsidR="006A2E2A" w:rsidRPr="003A3BF5" w:rsidRDefault="006A2E2A" w:rsidP="00FC79F5">
            <w:pPr>
              <w:rPr>
                <w:rFonts w:cstheme="minorHAnsi"/>
                <w:sz w:val="20"/>
                <w:szCs w:val="20"/>
              </w:rPr>
            </w:pPr>
          </w:p>
        </w:tc>
      </w:tr>
      <w:tr w:rsidR="006A2E2A" w14:paraId="3A3280D5" w14:textId="77777777" w:rsidTr="006A2E2A">
        <w:tc>
          <w:tcPr>
            <w:tcW w:w="990" w:type="dxa"/>
          </w:tcPr>
          <w:p w14:paraId="07C7F749" w14:textId="3E85345C"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35</w:t>
            </w:r>
          </w:p>
        </w:tc>
        <w:tc>
          <w:tcPr>
            <w:tcW w:w="1620" w:type="dxa"/>
          </w:tcPr>
          <w:p w14:paraId="1D664E10" w14:textId="17368F95"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p_asi_1in</w:t>
            </w:r>
          </w:p>
        </w:tc>
        <w:tc>
          <w:tcPr>
            <w:tcW w:w="5850" w:type="dxa"/>
          </w:tcPr>
          <w:p w14:paraId="78CD8B88" w14:textId="232EF8A9"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Asian, using 1-mile inverse weighted definition of neighbors</w:t>
            </w:r>
          </w:p>
        </w:tc>
        <w:tc>
          <w:tcPr>
            <w:tcW w:w="2160" w:type="dxa"/>
          </w:tcPr>
          <w:p w14:paraId="006EEACE" w14:textId="77777777" w:rsidR="006A2E2A" w:rsidRPr="003A3BF5" w:rsidRDefault="006A2E2A" w:rsidP="00FC79F5">
            <w:pPr>
              <w:rPr>
                <w:rFonts w:cstheme="minorHAnsi"/>
                <w:sz w:val="20"/>
                <w:szCs w:val="20"/>
              </w:rPr>
            </w:pPr>
          </w:p>
        </w:tc>
      </w:tr>
      <w:tr w:rsidR="006A2E2A" w14:paraId="5870F5FF" w14:textId="77777777" w:rsidTr="006A2E2A">
        <w:tc>
          <w:tcPr>
            <w:tcW w:w="990" w:type="dxa"/>
          </w:tcPr>
          <w:p w14:paraId="45DAFEEF" w14:textId="009A2B4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36</w:t>
            </w:r>
          </w:p>
        </w:tc>
        <w:tc>
          <w:tcPr>
            <w:tcW w:w="1620" w:type="dxa"/>
          </w:tcPr>
          <w:p w14:paraId="7D72ED5D" w14:textId="357A1A8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G_bla_1in</w:t>
            </w:r>
          </w:p>
        </w:tc>
        <w:tc>
          <w:tcPr>
            <w:tcW w:w="5850" w:type="dxa"/>
          </w:tcPr>
          <w:p w14:paraId="3D09011F" w14:textId="2857A20E"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Black, using 1-mile inverse weighted definition of neighbors</w:t>
            </w:r>
          </w:p>
        </w:tc>
        <w:tc>
          <w:tcPr>
            <w:tcW w:w="2160" w:type="dxa"/>
          </w:tcPr>
          <w:p w14:paraId="1D7CD12A" w14:textId="77777777" w:rsidR="006A2E2A" w:rsidRPr="003A3BF5" w:rsidRDefault="006A2E2A" w:rsidP="00FC79F5">
            <w:pPr>
              <w:rPr>
                <w:rFonts w:cstheme="minorHAnsi"/>
                <w:sz w:val="20"/>
                <w:szCs w:val="20"/>
              </w:rPr>
            </w:pPr>
          </w:p>
        </w:tc>
      </w:tr>
      <w:tr w:rsidR="006A2E2A" w14:paraId="00086432" w14:textId="77777777" w:rsidTr="006A2E2A">
        <w:tc>
          <w:tcPr>
            <w:tcW w:w="990" w:type="dxa"/>
          </w:tcPr>
          <w:p w14:paraId="0C29576C" w14:textId="5CF88796"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37</w:t>
            </w:r>
          </w:p>
        </w:tc>
        <w:tc>
          <w:tcPr>
            <w:tcW w:w="1620" w:type="dxa"/>
          </w:tcPr>
          <w:p w14:paraId="290B794B" w14:textId="457672E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p_bla_1in</w:t>
            </w:r>
          </w:p>
        </w:tc>
        <w:tc>
          <w:tcPr>
            <w:tcW w:w="5850" w:type="dxa"/>
          </w:tcPr>
          <w:p w14:paraId="3838E86C" w14:textId="6C225D6E"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Black, using 1-mile inverse weighted definition of neighbors</w:t>
            </w:r>
          </w:p>
        </w:tc>
        <w:tc>
          <w:tcPr>
            <w:tcW w:w="2160" w:type="dxa"/>
          </w:tcPr>
          <w:p w14:paraId="7A393738" w14:textId="77777777" w:rsidR="006A2E2A" w:rsidRPr="003A3BF5" w:rsidRDefault="006A2E2A" w:rsidP="00FC79F5">
            <w:pPr>
              <w:rPr>
                <w:rFonts w:cstheme="minorHAnsi"/>
                <w:sz w:val="20"/>
                <w:szCs w:val="20"/>
              </w:rPr>
            </w:pPr>
          </w:p>
        </w:tc>
      </w:tr>
      <w:tr w:rsidR="006A2E2A" w14:paraId="35537D29" w14:textId="77777777" w:rsidTr="006A2E2A">
        <w:tc>
          <w:tcPr>
            <w:tcW w:w="990" w:type="dxa"/>
          </w:tcPr>
          <w:p w14:paraId="48252A98" w14:textId="5EF564A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38</w:t>
            </w:r>
          </w:p>
        </w:tc>
        <w:tc>
          <w:tcPr>
            <w:tcW w:w="1620" w:type="dxa"/>
          </w:tcPr>
          <w:p w14:paraId="54DFDD83" w14:textId="07238E46"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G_his_1in</w:t>
            </w:r>
          </w:p>
        </w:tc>
        <w:tc>
          <w:tcPr>
            <w:tcW w:w="5850" w:type="dxa"/>
          </w:tcPr>
          <w:p w14:paraId="2B41DD28" w14:textId="7A15D5F6"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Hispanic, using 1-mile inverse weighted definition of neighbors</w:t>
            </w:r>
          </w:p>
        </w:tc>
        <w:tc>
          <w:tcPr>
            <w:tcW w:w="2160" w:type="dxa"/>
          </w:tcPr>
          <w:p w14:paraId="18CE16F5" w14:textId="77777777" w:rsidR="006A2E2A" w:rsidRPr="003A3BF5" w:rsidRDefault="006A2E2A" w:rsidP="00FC79F5">
            <w:pPr>
              <w:rPr>
                <w:rFonts w:cstheme="minorHAnsi"/>
                <w:sz w:val="20"/>
                <w:szCs w:val="20"/>
              </w:rPr>
            </w:pPr>
          </w:p>
        </w:tc>
      </w:tr>
      <w:tr w:rsidR="006A2E2A" w14:paraId="0D756C71" w14:textId="77777777" w:rsidTr="006A2E2A">
        <w:tc>
          <w:tcPr>
            <w:tcW w:w="990" w:type="dxa"/>
          </w:tcPr>
          <w:p w14:paraId="56DE522F" w14:textId="6CCDE006"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39</w:t>
            </w:r>
          </w:p>
        </w:tc>
        <w:tc>
          <w:tcPr>
            <w:tcW w:w="1620" w:type="dxa"/>
          </w:tcPr>
          <w:p w14:paraId="2A03AB51" w14:textId="3118302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p_his_1in</w:t>
            </w:r>
          </w:p>
        </w:tc>
        <w:tc>
          <w:tcPr>
            <w:tcW w:w="5850" w:type="dxa"/>
          </w:tcPr>
          <w:p w14:paraId="69D01EE3" w14:textId="07FB35B0"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Hispanic, using 1-mile inverse weighted definition of neighbors</w:t>
            </w:r>
          </w:p>
        </w:tc>
        <w:tc>
          <w:tcPr>
            <w:tcW w:w="2160" w:type="dxa"/>
          </w:tcPr>
          <w:p w14:paraId="703DC9D9" w14:textId="77777777" w:rsidR="006A2E2A" w:rsidRPr="003A3BF5" w:rsidRDefault="006A2E2A" w:rsidP="00FC79F5">
            <w:pPr>
              <w:rPr>
                <w:rFonts w:cstheme="minorHAnsi"/>
                <w:sz w:val="20"/>
                <w:szCs w:val="20"/>
              </w:rPr>
            </w:pPr>
          </w:p>
        </w:tc>
      </w:tr>
      <w:tr w:rsidR="006A2E2A" w14:paraId="6EA5C393" w14:textId="77777777" w:rsidTr="006A2E2A">
        <w:tc>
          <w:tcPr>
            <w:tcW w:w="990" w:type="dxa"/>
          </w:tcPr>
          <w:p w14:paraId="0E389A05" w14:textId="684CD13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40</w:t>
            </w:r>
          </w:p>
        </w:tc>
        <w:tc>
          <w:tcPr>
            <w:tcW w:w="1620" w:type="dxa"/>
          </w:tcPr>
          <w:p w14:paraId="2C797328" w14:textId="6602292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G_whi_1in</w:t>
            </w:r>
          </w:p>
        </w:tc>
        <w:tc>
          <w:tcPr>
            <w:tcW w:w="5850" w:type="dxa"/>
          </w:tcPr>
          <w:p w14:paraId="4A4387FE" w14:textId="7BF0B92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 White, using 1-mile inverse weighted definition of neighbors</w:t>
            </w:r>
          </w:p>
        </w:tc>
        <w:tc>
          <w:tcPr>
            <w:tcW w:w="2160" w:type="dxa"/>
          </w:tcPr>
          <w:p w14:paraId="1BC4F989" w14:textId="77777777" w:rsidR="006A2E2A" w:rsidRPr="003A3BF5" w:rsidRDefault="006A2E2A" w:rsidP="00FC79F5">
            <w:pPr>
              <w:rPr>
                <w:rFonts w:cstheme="minorHAnsi"/>
                <w:sz w:val="20"/>
                <w:szCs w:val="20"/>
              </w:rPr>
            </w:pPr>
          </w:p>
        </w:tc>
      </w:tr>
      <w:tr w:rsidR="006A2E2A" w14:paraId="5F1BE1F5" w14:textId="77777777" w:rsidTr="006A2E2A">
        <w:tc>
          <w:tcPr>
            <w:tcW w:w="990" w:type="dxa"/>
          </w:tcPr>
          <w:p w14:paraId="48C6AC16" w14:textId="4BB86B2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41</w:t>
            </w:r>
          </w:p>
        </w:tc>
        <w:tc>
          <w:tcPr>
            <w:tcW w:w="1620" w:type="dxa"/>
          </w:tcPr>
          <w:p w14:paraId="08C4B577" w14:textId="7CF31692"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p_whi_1in</w:t>
            </w:r>
          </w:p>
        </w:tc>
        <w:tc>
          <w:tcPr>
            <w:tcW w:w="5850" w:type="dxa"/>
          </w:tcPr>
          <w:p w14:paraId="7D72582A" w14:textId="14B5DEB8"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 White, using 1-mile inverse weighted definition of neighbors</w:t>
            </w:r>
          </w:p>
        </w:tc>
        <w:tc>
          <w:tcPr>
            <w:tcW w:w="2160" w:type="dxa"/>
          </w:tcPr>
          <w:p w14:paraId="26AD3D78" w14:textId="77777777" w:rsidR="006A2E2A" w:rsidRPr="003A3BF5" w:rsidRDefault="006A2E2A" w:rsidP="00FC79F5">
            <w:pPr>
              <w:rPr>
                <w:rFonts w:cstheme="minorHAnsi"/>
                <w:sz w:val="20"/>
                <w:szCs w:val="20"/>
              </w:rPr>
            </w:pPr>
          </w:p>
        </w:tc>
      </w:tr>
      <w:tr w:rsidR="006A2E2A" w14:paraId="20A36E7F" w14:textId="77777777" w:rsidTr="006A2E2A">
        <w:tc>
          <w:tcPr>
            <w:tcW w:w="990" w:type="dxa"/>
          </w:tcPr>
          <w:p w14:paraId="19055510" w14:textId="38D2B01D"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42</w:t>
            </w:r>
          </w:p>
        </w:tc>
        <w:tc>
          <w:tcPr>
            <w:tcW w:w="1620" w:type="dxa"/>
          </w:tcPr>
          <w:p w14:paraId="7C9CF437" w14:textId="05BB284C"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n_nbr_rk</w:t>
            </w:r>
            <w:proofErr w:type="spellEnd"/>
          </w:p>
        </w:tc>
        <w:tc>
          <w:tcPr>
            <w:tcW w:w="5850" w:type="dxa"/>
          </w:tcPr>
          <w:p w14:paraId="2C51E508" w14:textId="7805A45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 xml:space="preserve">Number of neighbors identified by the rook definition of neighbors.  If this is 0, then the corresponding </w:t>
            </w:r>
            <w:proofErr w:type="spellStart"/>
            <w:r w:rsidRPr="003A3BF5">
              <w:rPr>
                <w:rFonts w:cstheme="minorHAnsi"/>
                <w:sz w:val="20"/>
                <w:szCs w:val="20"/>
              </w:rPr>
              <w:t>G</w:t>
            </w:r>
            <w:r w:rsidRPr="003A3BF5">
              <w:rPr>
                <w:rFonts w:cstheme="minorHAnsi"/>
                <w:sz w:val="20"/>
                <w:szCs w:val="20"/>
                <w:vertAlign w:val="subscript"/>
              </w:rPr>
              <w:t>i</w:t>
            </w:r>
            <w:proofErr w:type="spellEnd"/>
            <w:r w:rsidRPr="003A3BF5">
              <w:rPr>
                <w:rFonts w:cstheme="minorHAnsi"/>
                <w:sz w:val="20"/>
                <w:szCs w:val="20"/>
              </w:rPr>
              <w:t>* statistics are missing.</w:t>
            </w:r>
          </w:p>
        </w:tc>
        <w:tc>
          <w:tcPr>
            <w:tcW w:w="2160" w:type="dxa"/>
          </w:tcPr>
          <w:p w14:paraId="5CCC31E8" w14:textId="77777777" w:rsidR="006A2E2A" w:rsidRPr="003A3BF5" w:rsidRDefault="006A2E2A" w:rsidP="00FC79F5">
            <w:pPr>
              <w:rPr>
                <w:rFonts w:cstheme="minorHAnsi"/>
                <w:sz w:val="20"/>
                <w:szCs w:val="20"/>
              </w:rPr>
            </w:pPr>
          </w:p>
        </w:tc>
      </w:tr>
      <w:tr w:rsidR="006A2E2A" w14:paraId="79DDFBB2" w14:textId="77777777" w:rsidTr="006A2E2A">
        <w:tc>
          <w:tcPr>
            <w:tcW w:w="990" w:type="dxa"/>
          </w:tcPr>
          <w:p w14:paraId="1E4EAFD3" w14:textId="540DC34A"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43</w:t>
            </w:r>
          </w:p>
        </w:tc>
        <w:tc>
          <w:tcPr>
            <w:tcW w:w="1620" w:type="dxa"/>
          </w:tcPr>
          <w:p w14:paraId="4BBBFC35" w14:textId="2F09CFD1"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n_nbr_1mi</w:t>
            </w:r>
          </w:p>
        </w:tc>
        <w:tc>
          <w:tcPr>
            <w:tcW w:w="5850" w:type="dxa"/>
          </w:tcPr>
          <w:p w14:paraId="05C74CD5" w14:textId="267647EA"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 xml:space="preserve">Number of neighbors identified by the 1-mile definition of neighbors.  If this is 0, then the corresponding </w:t>
            </w:r>
            <w:proofErr w:type="spellStart"/>
            <w:r w:rsidRPr="003A3BF5">
              <w:rPr>
                <w:rFonts w:cstheme="minorHAnsi"/>
                <w:sz w:val="20"/>
                <w:szCs w:val="20"/>
              </w:rPr>
              <w:t>G</w:t>
            </w:r>
            <w:r w:rsidRPr="003A3BF5">
              <w:rPr>
                <w:rFonts w:cstheme="minorHAnsi"/>
                <w:sz w:val="20"/>
                <w:szCs w:val="20"/>
                <w:vertAlign w:val="subscript"/>
              </w:rPr>
              <w:t>i</w:t>
            </w:r>
            <w:proofErr w:type="spellEnd"/>
            <w:r w:rsidRPr="003A3BF5">
              <w:rPr>
                <w:rFonts w:cstheme="minorHAnsi"/>
                <w:sz w:val="20"/>
                <w:szCs w:val="20"/>
              </w:rPr>
              <w:t>* statistics are missing.</w:t>
            </w:r>
          </w:p>
        </w:tc>
        <w:tc>
          <w:tcPr>
            <w:tcW w:w="2160" w:type="dxa"/>
          </w:tcPr>
          <w:p w14:paraId="49DB371C" w14:textId="77777777" w:rsidR="006A2E2A" w:rsidRPr="003A3BF5" w:rsidRDefault="006A2E2A" w:rsidP="00FC79F5">
            <w:pPr>
              <w:rPr>
                <w:rFonts w:cstheme="minorHAnsi"/>
                <w:sz w:val="20"/>
                <w:szCs w:val="20"/>
              </w:rPr>
            </w:pPr>
          </w:p>
        </w:tc>
      </w:tr>
      <w:tr w:rsidR="006A2E2A" w14:paraId="4EBC5D61" w14:textId="77777777" w:rsidTr="006A2E2A">
        <w:tc>
          <w:tcPr>
            <w:tcW w:w="990" w:type="dxa"/>
          </w:tcPr>
          <w:p w14:paraId="51EBE9FE" w14:textId="2B572A5B"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44</w:t>
            </w:r>
          </w:p>
        </w:tc>
        <w:tc>
          <w:tcPr>
            <w:tcW w:w="1620" w:type="dxa"/>
          </w:tcPr>
          <w:p w14:paraId="627C9A46" w14:textId="4A00AFE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n_nbr_2mi</w:t>
            </w:r>
          </w:p>
        </w:tc>
        <w:tc>
          <w:tcPr>
            <w:tcW w:w="5850" w:type="dxa"/>
          </w:tcPr>
          <w:p w14:paraId="613769F0" w14:textId="17696918"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 xml:space="preserve">Number of neighbors identified by the 2-mile definition of neighbors.  If this is 0, then the corresponding </w:t>
            </w:r>
            <w:proofErr w:type="spellStart"/>
            <w:r w:rsidRPr="003A3BF5">
              <w:rPr>
                <w:rFonts w:cstheme="minorHAnsi"/>
                <w:sz w:val="20"/>
                <w:szCs w:val="20"/>
              </w:rPr>
              <w:t>G</w:t>
            </w:r>
            <w:r w:rsidRPr="003A3BF5">
              <w:rPr>
                <w:rFonts w:cstheme="minorHAnsi"/>
                <w:sz w:val="20"/>
                <w:szCs w:val="20"/>
                <w:vertAlign w:val="subscript"/>
              </w:rPr>
              <w:t>i</w:t>
            </w:r>
            <w:proofErr w:type="spellEnd"/>
            <w:r w:rsidRPr="003A3BF5">
              <w:rPr>
                <w:rFonts w:cstheme="minorHAnsi"/>
                <w:sz w:val="20"/>
                <w:szCs w:val="20"/>
              </w:rPr>
              <w:t>* statistics are missing.</w:t>
            </w:r>
          </w:p>
        </w:tc>
        <w:tc>
          <w:tcPr>
            <w:tcW w:w="2160" w:type="dxa"/>
          </w:tcPr>
          <w:p w14:paraId="25E7F55B" w14:textId="77777777" w:rsidR="006A2E2A" w:rsidRPr="003A3BF5" w:rsidRDefault="006A2E2A" w:rsidP="00FC79F5">
            <w:pPr>
              <w:rPr>
                <w:rFonts w:cstheme="minorHAnsi"/>
                <w:sz w:val="20"/>
                <w:szCs w:val="20"/>
              </w:rPr>
            </w:pPr>
          </w:p>
        </w:tc>
      </w:tr>
      <w:tr w:rsidR="006A2E2A" w14:paraId="4D095C61" w14:textId="77777777" w:rsidTr="006A2E2A">
        <w:tc>
          <w:tcPr>
            <w:tcW w:w="990" w:type="dxa"/>
          </w:tcPr>
          <w:p w14:paraId="4E486DD1" w14:textId="7B29C36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45</w:t>
            </w:r>
          </w:p>
        </w:tc>
        <w:tc>
          <w:tcPr>
            <w:tcW w:w="1620" w:type="dxa"/>
          </w:tcPr>
          <w:p w14:paraId="4BA9B7A8" w14:textId="0C39981E"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n_nbr_1mi_inv</w:t>
            </w:r>
          </w:p>
        </w:tc>
        <w:tc>
          <w:tcPr>
            <w:tcW w:w="5850" w:type="dxa"/>
          </w:tcPr>
          <w:p w14:paraId="48F77282" w14:textId="188D60A3"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 xml:space="preserve">Number of neighbors identified by the 1-mile inverse weighted definition of neighbors.  (Identical to the number of neighbors identified by the 1-mile fixed distance definition, though the weight of the neighbors will be different.)  If this is 0, then the corresponding </w:t>
            </w:r>
            <w:proofErr w:type="spellStart"/>
            <w:r w:rsidRPr="003A3BF5">
              <w:rPr>
                <w:rFonts w:cstheme="minorHAnsi"/>
                <w:sz w:val="20"/>
                <w:szCs w:val="20"/>
              </w:rPr>
              <w:t>G</w:t>
            </w:r>
            <w:r w:rsidRPr="003A3BF5">
              <w:rPr>
                <w:rFonts w:cstheme="minorHAnsi"/>
                <w:sz w:val="20"/>
                <w:szCs w:val="20"/>
                <w:vertAlign w:val="subscript"/>
              </w:rPr>
              <w:t>i</w:t>
            </w:r>
            <w:proofErr w:type="spellEnd"/>
            <w:r w:rsidRPr="003A3BF5">
              <w:rPr>
                <w:rFonts w:cstheme="minorHAnsi"/>
                <w:sz w:val="20"/>
                <w:szCs w:val="20"/>
              </w:rPr>
              <w:t>* statistics are missing.</w:t>
            </w:r>
          </w:p>
        </w:tc>
        <w:tc>
          <w:tcPr>
            <w:tcW w:w="2160" w:type="dxa"/>
          </w:tcPr>
          <w:p w14:paraId="57F0D432" w14:textId="77777777" w:rsidR="006A2E2A" w:rsidRPr="003A3BF5" w:rsidRDefault="006A2E2A" w:rsidP="00FC79F5">
            <w:pPr>
              <w:rPr>
                <w:rFonts w:cstheme="minorHAnsi"/>
                <w:sz w:val="20"/>
                <w:szCs w:val="20"/>
              </w:rPr>
            </w:pPr>
          </w:p>
        </w:tc>
      </w:tr>
      <w:tr w:rsidR="006A2E2A" w14:paraId="5EB51D0A" w14:textId="77777777" w:rsidTr="006A2E2A">
        <w:tc>
          <w:tcPr>
            <w:tcW w:w="990" w:type="dxa"/>
          </w:tcPr>
          <w:p w14:paraId="1D14F6F0" w14:textId="1E446955"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46</w:t>
            </w:r>
          </w:p>
        </w:tc>
        <w:tc>
          <w:tcPr>
            <w:tcW w:w="1620" w:type="dxa"/>
          </w:tcPr>
          <w:p w14:paraId="485216C0" w14:textId="4189A910"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RACE</w:t>
            </w:r>
          </w:p>
        </w:tc>
        <w:tc>
          <w:tcPr>
            <w:tcW w:w="5850" w:type="dxa"/>
          </w:tcPr>
          <w:p w14:paraId="103F9B1F" w14:textId="592793B7"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Race/ethnicity</w:t>
            </w:r>
          </w:p>
        </w:tc>
        <w:tc>
          <w:tcPr>
            <w:tcW w:w="2160" w:type="dxa"/>
          </w:tcPr>
          <w:p w14:paraId="5E5AC991" w14:textId="77777777" w:rsidR="006A2E2A" w:rsidRPr="003A3BF5" w:rsidRDefault="006A2E2A" w:rsidP="00FC79F5">
            <w:pPr>
              <w:autoSpaceDE w:val="0"/>
              <w:autoSpaceDN w:val="0"/>
              <w:adjustRightInd w:val="0"/>
              <w:rPr>
                <w:rFonts w:cs="Courier New"/>
                <w:sz w:val="20"/>
                <w:szCs w:val="20"/>
                <w:shd w:val="clear" w:color="auto" w:fill="FFFFFF"/>
              </w:rPr>
            </w:pPr>
            <w:r w:rsidRPr="003A3BF5">
              <w:rPr>
                <w:rFonts w:cs="Courier New"/>
                <w:bCs/>
                <w:sz w:val="20"/>
                <w:szCs w:val="20"/>
                <w:shd w:val="clear" w:color="auto" w:fill="FFFFFF"/>
              </w:rPr>
              <w:t>1</w:t>
            </w:r>
            <w:r w:rsidRPr="003A3BF5">
              <w:rPr>
                <w:rFonts w:cs="Courier New"/>
                <w:sz w:val="20"/>
                <w:szCs w:val="20"/>
                <w:shd w:val="clear" w:color="auto" w:fill="FFFFFF"/>
              </w:rPr>
              <w:t>=White, Caucasian</w:t>
            </w:r>
          </w:p>
          <w:p w14:paraId="5BF3A3B4" w14:textId="77777777" w:rsidR="006A2E2A" w:rsidRPr="003A3BF5" w:rsidRDefault="006A2E2A" w:rsidP="00FC79F5">
            <w:pPr>
              <w:autoSpaceDE w:val="0"/>
              <w:autoSpaceDN w:val="0"/>
              <w:adjustRightInd w:val="0"/>
              <w:rPr>
                <w:rFonts w:cs="Courier New"/>
                <w:sz w:val="20"/>
                <w:szCs w:val="20"/>
                <w:shd w:val="clear" w:color="auto" w:fill="FFFFFF"/>
              </w:rPr>
            </w:pPr>
            <w:r w:rsidRPr="003A3BF5">
              <w:rPr>
                <w:rFonts w:cs="Courier New"/>
                <w:bCs/>
                <w:sz w:val="20"/>
                <w:szCs w:val="20"/>
                <w:shd w:val="clear" w:color="auto" w:fill="FFFFFF"/>
              </w:rPr>
              <w:t>2</w:t>
            </w:r>
            <w:r w:rsidRPr="003A3BF5">
              <w:rPr>
                <w:rFonts w:cs="Courier New"/>
                <w:sz w:val="20"/>
                <w:szCs w:val="20"/>
                <w:shd w:val="clear" w:color="auto" w:fill="FFFFFF"/>
              </w:rPr>
              <w:t>=Chinese American</w:t>
            </w:r>
          </w:p>
          <w:p w14:paraId="2CDC1D0A" w14:textId="77777777" w:rsidR="006A2E2A" w:rsidRPr="003A3BF5" w:rsidRDefault="006A2E2A" w:rsidP="00FC79F5">
            <w:pPr>
              <w:autoSpaceDE w:val="0"/>
              <w:autoSpaceDN w:val="0"/>
              <w:adjustRightInd w:val="0"/>
              <w:rPr>
                <w:rFonts w:cs="Courier New"/>
                <w:sz w:val="20"/>
                <w:szCs w:val="20"/>
                <w:shd w:val="clear" w:color="auto" w:fill="FFFFFF"/>
              </w:rPr>
            </w:pPr>
            <w:r w:rsidRPr="003A3BF5">
              <w:rPr>
                <w:rFonts w:cs="Courier New"/>
                <w:bCs/>
                <w:sz w:val="20"/>
                <w:szCs w:val="20"/>
                <w:shd w:val="clear" w:color="auto" w:fill="FFFFFF"/>
              </w:rPr>
              <w:t>3</w:t>
            </w:r>
            <w:r w:rsidRPr="003A3BF5">
              <w:rPr>
                <w:rFonts w:cs="Courier New"/>
                <w:sz w:val="20"/>
                <w:szCs w:val="20"/>
                <w:shd w:val="clear" w:color="auto" w:fill="FFFFFF"/>
              </w:rPr>
              <w:t>=Black, African-American</w:t>
            </w:r>
          </w:p>
          <w:p w14:paraId="732E9FCB" w14:textId="1352CAA6" w:rsidR="006A2E2A" w:rsidRPr="003A3BF5" w:rsidRDefault="006A2E2A" w:rsidP="00FC79F5">
            <w:pPr>
              <w:rPr>
                <w:rFonts w:cstheme="minorHAnsi"/>
                <w:sz w:val="20"/>
                <w:szCs w:val="20"/>
              </w:rPr>
            </w:pPr>
            <w:r w:rsidRPr="003A3BF5">
              <w:rPr>
                <w:rFonts w:cs="Courier New"/>
                <w:bCs/>
                <w:sz w:val="20"/>
                <w:szCs w:val="20"/>
                <w:shd w:val="clear" w:color="auto" w:fill="FFFFFF"/>
              </w:rPr>
              <w:t>4</w:t>
            </w:r>
            <w:r w:rsidRPr="003A3BF5">
              <w:rPr>
                <w:rFonts w:cs="Courier New"/>
                <w:sz w:val="20"/>
                <w:szCs w:val="20"/>
                <w:shd w:val="clear" w:color="auto" w:fill="FFFFFF"/>
              </w:rPr>
              <w:t>=Hispanic</w:t>
            </w:r>
          </w:p>
        </w:tc>
      </w:tr>
      <w:tr w:rsidR="006A2E2A" w14:paraId="4FF9C294" w14:textId="77777777" w:rsidTr="006A2E2A">
        <w:tc>
          <w:tcPr>
            <w:tcW w:w="990" w:type="dxa"/>
          </w:tcPr>
          <w:p w14:paraId="579F5EC6" w14:textId="3BAA7983"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47</w:t>
            </w:r>
          </w:p>
        </w:tc>
        <w:tc>
          <w:tcPr>
            <w:tcW w:w="1620" w:type="dxa"/>
          </w:tcPr>
          <w:p w14:paraId="1803C4F3" w14:textId="160476F3"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site_gstat</w:t>
            </w:r>
            <w:proofErr w:type="spellEnd"/>
          </w:p>
        </w:tc>
        <w:tc>
          <w:tcPr>
            <w:tcW w:w="5850" w:type="dxa"/>
          </w:tcPr>
          <w:p w14:paraId="63A74AC8" w14:textId="44541262"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MESA site corresponding to the Census Tract</w:t>
            </w:r>
          </w:p>
        </w:tc>
        <w:tc>
          <w:tcPr>
            <w:tcW w:w="2160" w:type="dxa"/>
          </w:tcPr>
          <w:p w14:paraId="685205BA" w14:textId="77777777" w:rsidR="006A2E2A" w:rsidRPr="003A3BF5" w:rsidRDefault="006A2E2A" w:rsidP="00FC79F5">
            <w:pPr>
              <w:rPr>
                <w:rFonts w:cstheme="minorHAnsi"/>
                <w:sz w:val="20"/>
                <w:szCs w:val="20"/>
              </w:rPr>
            </w:pPr>
            <w:r w:rsidRPr="003A3BF5">
              <w:rPr>
                <w:rFonts w:cstheme="minorHAnsi"/>
                <w:sz w:val="20"/>
                <w:szCs w:val="20"/>
              </w:rPr>
              <w:t>3=NC</w:t>
            </w:r>
          </w:p>
          <w:p w14:paraId="2DB29F64" w14:textId="77777777" w:rsidR="006A2E2A" w:rsidRPr="003A3BF5" w:rsidRDefault="006A2E2A" w:rsidP="00FC79F5">
            <w:pPr>
              <w:rPr>
                <w:rFonts w:cstheme="minorHAnsi"/>
                <w:sz w:val="20"/>
                <w:szCs w:val="20"/>
              </w:rPr>
            </w:pPr>
            <w:r w:rsidRPr="003A3BF5">
              <w:rPr>
                <w:rFonts w:cstheme="minorHAnsi"/>
                <w:sz w:val="20"/>
                <w:szCs w:val="20"/>
              </w:rPr>
              <w:t>4=NY</w:t>
            </w:r>
          </w:p>
          <w:p w14:paraId="38998B9B" w14:textId="77777777" w:rsidR="006A2E2A" w:rsidRPr="003A3BF5" w:rsidRDefault="006A2E2A" w:rsidP="00FC79F5">
            <w:pPr>
              <w:rPr>
                <w:rFonts w:cstheme="minorHAnsi"/>
                <w:sz w:val="20"/>
                <w:szCs w:val="20"/>
              </w:rPr>
            </w:pPr>
            <w:r w:rsidRPr="003A3BF5">
              <w:rPr>
                <w:rFonts w:cstheme="minorHAnsi"/>
                <w:sz w:val="20"/>
                <w:szCs w:val="20"/>
              </w:rPr>
              <w:t>5=MD</w:t>
            </w:r>
          </w:p>
          <w:p w14:paraId="758D8FB3" w14:textId="77777777" w:rsidR="006A2E2A" w:rsidRPr="003A3BF5" w:rsidRDefault="006A2E2A" w:rsidP="00FC79F5">
            <w:pPr>
              <w:rPr>
                <w:rFonts w:cstheme="minorHAnsi"/>
                <w:sz w:val="20"/>
                <w:szCs w:val="20"/>
              </w:rPr>
            </w:pPr>
            <w:r w:rsidRPr="003A3BF5">
              <w:rPr>
                <w:rFonts w:cstheme="minorHAnsi"/>
                <w:sz w:val="20"/>
                <w:szCs w:val="20"/>
              </w:rPr>
              <w:t>6=MN</w:t>
            </w:r>
          </w:p>
          <w:p w14:paraId="52CEB06D" w14:textId="77777777" w:rsidR="006A2E2A" w:rsidRPr="003A3BF5" w:rsidRDefault="006A2E2A" w:rsidP="00FC79F5">
            <w:pPr>
              <w:rPr>
                <w:rFonts w:cstheme="minorHAnsi"/>
                <w:sz w:val="20"/>
                <w:szCs w:val="20"/>
              </w:rPr>
            </w:pPr>
            <w:r w:rsidRPr="003A3BF5">
              <w:rPr>
                <w:rFonts w:cstheme="minorHAnsi"/>
                <w:sz w:val="20"/>
                <w:szCs w:val="20"/>
              </w:rPr>
              <w:t>7=IL</w:t>
            </w:r>
          </w:p>
          <w:p w14:paraId="23ECD6D1" w14:textId="5E531CBD" w:rsidR="006A2E2A" w:rsidRPr="003A3BF5" w:rsidRDefault="006A2E2A" w:rsidP="00FC79F5">
            <w:pPr>
              <w:autoSpaceDE w:val="0"/>
              <w:autoSpaceDN w:val="0"/>
              <w:adjustRightInd w:val="0"/>
              <w:rPr>
                <w:rFonts w:cs="Courier New"/>
                <w:bCs/>
                <w:sz w:val="20"/>
                <w:szCs w:val="20"/>
                <w:shd w:val="clear" w:color="auto" w:fill="FFFFFF"/>
              </w:rPr>
            </w:pPr>
            <w:r w:rsidRPr="003A3BF5">
              <w:rPr>
                <w:rFonts w:cstheme="minorHAnsi"/>
                <w:sz w:val="20"/>
                <w:szCs w:val="20"/>
              </w:rPr>
              <w:t>8=CA</w:t>
            </w:r>
          </w:p>
        </w:tc>
      </w:tr>
      <w:tr w:rsidR="006A2E2A" w14:paraId="6A466D3F" w14:textId="77777777" w:rsidTr="006A2E2A">
        <w:tc>
          <w:tcPr>
            <w:tcW w:w="990" w:type="dxa"/>
          </w:tcPr>
          <w:p w14:paraId="5B24E70F" w14:textId="2AD9FB8E"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48</w:t>
            </w:r>
          </w:p>
        </w:tc>
        <w:tc>
          <w:tcPr>
            <w:tcW w:w="1620" w:type="dxa"/>
          </w:tcPr>
          <w:p w14:paraId="31C114A0" w14:textId="07943F1F"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G_rk</w:t>
            </w:r>
            <w:proofErr w:type="spellEnd"/>
          </w:p>
        </w:tc>
        <w:tc>
          <w:tcPr>
            <w:tcW w:w="5850" w:type="dxa"/>
          </w:tcPr>
          <w:p w14:paraId="5741005C" w14:textId="5D46352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own race, using rook definition of neighbors</w:t>
            </w:r>
          </w:p>
        </w:tc>
        <w:tc>
          <w:tcPr>
            <w:tcW w:w="2160" w:type="dxa"/>
          </w:tcPr>
          <w:p w14:paraId="73B7B923" w14:textId="77777777" w:rsidR="006A2E2A" w:rsidRPr="003A3BF5" w:rsidRDefault="006A2E2A" w:rsidP="00FC79F5">
            <w:pPr>
              <w:rPr>
                <w:rFonts w:cstheme="minorHAnsi"/>
                <w:sz w:val="20"/>
                <w:szCs w:val="20"/>
              </w:rPr>
            </w:pPr>
          </w:p>
        </w:tc>
      </w:tr>
      <w:tr w:rsidR="006A2E2A" w14:paraId="13D3457F" w14:textId="77777777" w:rsidTr="006A2E2A">
        <w:tc>
          <w:tcPr>
            <w:tcW w:w="990" w:type="dxa"/>
          </w:tcPr>
          <w:p w14:paraId="7F8F0F48" w14:textId="2B1DDCB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lastRenderedPageBreak/>
              <w:t>49</w:t>
            </w:r>
          </w:p>
        </w:tc>
        <w:tc>
          <w:tcPr>
            <w:tcW w:w="1620" w:type="dxa"/>
          </w:tcPr>
          <w:p w14:paraId="2E4A3FFC" w14:textId="33A978E7" w:rsidR="006A2E2A" w:rsidRPr="003A3BF5" w:rsidRDefault="006A2E2A" w:rsidP="009F1147">
            <w:pPr>
              <w:tabs>
                <w:tab w:val="center" w:pos="6480"/>
              </w:tabs>
              <w:autoSpaceDE w:val="0"/>
              <w:autoSpaceDN w:val="0"/>
              <w:adjustRightInd w:val="0"/>
              <w:rPr>
                <w:rFonts w:cs="Arial"/>
                <w:sz w:val="20"/>
                <w:szCs w:val="20"/>
              </w:rPr>
            </w:pPr>
            <w:proofErr w:type="spellStart"/>
            <w:r w:rsidRPr="003A3BF5">
              <w:rPr>
                <w:rFonts w:cs="Arial"/>
                <w:sz w:val="20"/>
                <w:szCs w:val="20"/>
              </w:rPr>
              <w:t>p_rk</w:t>
            </w:r>
            <w:proofErr w:type="spellEnd"/>
          </w:p>
        </w:tc>
        <w:tc>
          <w:tcPr>
            <w:tcW w:w="5850" w:type="dxa"/>
          </w:tcPr>
          <w:p w14:paraId="71855F91" w14:textId="07900BA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own race, using rook definition of neighbors</w:t>
            </w:r>
          </w:p>
        </w:tc>
        <w:tc>
          <w:tcPr>
            <w:tcW w:w="2160" w:type="dxa"/>
          </w:tcPr>
          <w:p w14:paraId="24B02049" w14:textId="77777777" w:rsidR="006A2E2A" w:rsidRPr="003A3BF5" w:rsidRDefault="006A2E2A" w:rsidP="00FC79F5">
            <w:pPr>
              <w:rPr>
                <w:rFonts w:cstheme="minorHAnsi"/>
                <w:sz w:val="20"/>
                <w:szCs w:val="20"/>
              </w:rPr>
            </w:pPr>
          </w:p>
        </w:tc>
      </w:tr>
      <w:tr w:rsidR="006A2E2A" w14:paraId="2DD48B2A" w14:textId="77777777" w:rsidTr="006A2E2A">
        <w:tc>
          <w:tcPr>
            <w:tcW w:w="990" w:type="dxa"/>
          </w:tcPr>
          <w:p w14:paraId="133383A0" w14:textId="4DEB883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50</w:t>
            </w:r>
          </w:p>
        </w:tc>
        <w:tc>
          <w:tcPr>
            <w:tcW w:w="1620" w:type="dxa"/>
          </w:tcPr>
          <w:p w14:paraId="3A4D5396" w14:textId="5FD5E280"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G_1mi</w:t>
            </w:r>
          </w:p>
        </w:tc>
        <w:tc>
          <w:tcPr>
            <w:tcW w:w="5850" w:type="dxa"/>
          </w:tcPr>
          <w:p w14:paraId="438C7FC1" w14:textId="2B5F22A4"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own race, using 1-mile definition of neighbors</w:t>
            </w:r>
          </w:p>
        </w:tc>
        <w:tc>
          <w:tcPr>
            <w:tcW w:w="2160" w:type="dxa"/>
          </w:tcPr>
          <w:p w14:paraId="000DD5ED" w14:textId="77777777" w:rsidR="006A2E2A" w:rsidRPr="003A3BF5" w:rsidRDefault="006A2E2A" w:rsidP="00FC79F5">
            <w:pPr>
              <w:rPr>
                <w:rFonts w:cstheme="minorHAnsi"/>
                <w:sz w:val="20"/>
                <w:szCs w:val="20"/>
              </w:rPr>
            </w:pPr>
          </w:p>
        </w:tc>
      </w:tr>
      <w:tr w:rsidR="006A2E2A" w14:paraId="7C76B336" w14:textId="77777777" w:rsidTr="006A2E2A">
        <w:tc>
          <w:tcPr>
            <w:tcW w:w="990" w:type="dxa"/>
          </w:tcPr>
          <w:p w14:paraId="5FA81910" w14:textId="70C60677"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51</w:t>
            </w:r>
          </w:p>
        </w:tc>
        <w:tc>
          <w:tcPr>
            <w:tcW w:w="1620" w:type="dxa"/>
          </w:tcPr>
          <w:p w14:paraId="4ED66390" w14:textId="77F2F9FD"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p_1mi</w:t>
            </w:r>
          </w:p>
        </w:tc>
        <w:tc>
          <w:tcPr>
            <w:tcW w:w="5850" w:type="dxa"/>
          </w:tcPr>
          <w:p w14:paraId="11B6629B" w14:textId="3F6D5B5E"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own race, using 1-mile definition of neighbors</w:t>
            </w:r>
          </w:p>
        </w:tc>
        <w:tc>
          <w:tcPr>
            <w:tcW w:w="2160" w:type="dxa"/>
          </w:tcPr>
          <w:p w14:paraId="1CF19F3D" w14:textId="77777777" w:rsidR="006A2E2A" w:rsidRPr="003A3BF5" w:rsidRDefault="006A2E2A" w:rsidP="00FC79F5">
            <w:pPr>
              <w:rPr>
                <w:rFonts w:cstheme="minorHAnsi"/>
                <w:sz w:val="20"/>
                <w:szCs w:val="20"/>
              </w:rPr>
            </w:pPr>
          </w:p>
        </w:tc>
      </w:tr>
      <w:tr w:rsidR="006A2E2A" w14:paraId="0F6FD3BD" w14:textId="77777777" w:rsidTr="006A2E2A">
        <w:tc>
          <w:tcPr>
            <w:tcW w:w="990" w:type="dxa"/>
          </w:tcPr>
          <w:p w14:paraId="4CD414E6" w14:textId="501AA8CA" w:rsidR="006A2E2A" w:rsidRPr="003A3BF5" w:rsidRDefault="006A2E2A" w:rsidP="009F1147">
            <w:pPr>
              <w:tabs>
                <w:tab w:val="center" w:pos="6480"/>
              </w:tabs>
              <w:autoSpaceDE w:val="0"/>
              <w:autoSpaceDN w:val="0"/>
              <w:adjustRightInd w:val="0"/>
              <w:rPr>
                <w:rFonts w:cs="Arial"/>
                <w:sz w:val="20"/>
                <w:szCs w:val="20"/>
              </w:rPr>
            </w:pPr>
            <w:r>
              <w:rPr>
                <w:rFonts w:cs="Arial"/>
                <w:sz w:val="20"/>
                <w:szCs w:val="20"/>
              </w:rPr>
              <w:t>52</w:t>
            </w:r>
          </w:p>
        </w:tc>
        <w:tc>
          <w:tcPr>
            <w:tcW w:w="1620" w:type="dxa"/>
          </w:tcPr>
          <w:p w14:paraId="7F329D42" w14:textId="29CA30E4"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G_1in</w:t>
            </w:r>
          </w:p>
        </w:tc>
        <w:tc>
          <w:tcPr>
            <w:tcW w:w="5850" w:type="dxa"/>
          </w:tcPr>
          <w:p w14:paraId="53C7E7C8" w14:textId="4CC256B2"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own race, using 1-mile inverse weighted definition of neighbors</w:t>
            </w:r>
          </w:p>
        </w:tc>
        <w:tc>
          <w:tcPr>
            <w:tcW w:w="2160" w:type="dxa"/>
          </w:tcPr>
          <w:p w14:paraId="3713D8C5" w14:textId="77777777" w:rsidR="006A2E2A" w:rsidRPr="003A3BF5" w:rsidRDefault="006A2E2A" w:rsidP="00FC79F5">
            <w:pPr>
              <w:rPr>
                <w:rFonts w:cstheme="minorHAnsi"/>
                <w:sz w:val="20"/>
                <w:szCs w:val="20"/>
              </w:rPr>
            </w:pPr>
          </w:p>
        </w:tc>
      </w:tr>
      <w:tr w:rsidR="006A2E2A" w14:paraId="2D805602" w14:textId="77777777" w:rsidTr="006A2E2A">
        <w:tc>
          <w:tcPr>
            <w:tcW w:w="990" w:type="dxa"/>
          </w:tcPr>
          <w:p w14:paraId="528100BC" w14:textId="2F706385" w:rsidR="006A2E2A" w:rsidRDefault="006A2E2A" w:rsidP="009F1147">
            <w:pPr>
              <w:tabs>
                <w:tab w:val="center" w:pos="6480"/>
              </w:tabs>
              <w:autoSpaceDE w:val="0"/>
              <w:autoSpaceDN w:val="0"/>
              <w:adjustRightInd w:val="0"/>
              <w:rPr>
                <w:rFonts w:cs="Arial"/>
                <w:sz w:val="20"/>
                <w:szCs w:val="20"/>
              </w:rPr>
            </w:pPr>
            <w:r>
              <w:rPr>
                <w:rFonts w:cs="Arial"/>
                <w:sz w:val="20"/>
                <w:szCs w:val="20"/>
              </w:rPr>
              <w:t>53</w:t>
            </w:r>
          </w:p>
        </w:tc>
        <w:tc>
          <w:tcPr>
            <w:tcW w:w="1620" w:type="dxa"/>
          </w:tcPr>
          <w:p w14:paraId="3A061F2A" w14:textId="05A6A229"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p_1in</w:t>
            </w:r>
          </w:p>
        </w:tc>
        <w:tc>
          <w:tcPr>
            <w:tcW w:w="5850" w:type="dxa"/>
          </w:tcPr>
          <w:p w14:paraId="17E65332" w14:textId="64A7C540"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own race, using 1-mile inverse weighted definition of neighbors</w:t>
            </w:r>
          </w:p>
        </w:tc>
        <w:tc>
          <w:tcPr>
            <w:tcW w:w="2160" w:type="dxa"/>
          </w:tcPr>
          <w:p w14:paraId="7A125CD5" w14:textId="77777777" w:rsidR="006A2E2A" w:rsidRPr="003A3BF5" w:rsidRDefault="006A2E2A" w:rsidP="00FC79F5">
            <w:pPr>
              <w:rPr>
                <w:rFonts w:cstheme="minorHAnsi"/>
                <w:sz w:val="20"/>
                <w:szCs w:val="20"/>
              </w:rPr>
            </w:pPr>
          </w:p>
        </w:tc>
      </w:tr>
      <w:tr w:rsidR="006A2E2A" w14:paraId="4A9B1CDE" w14:textId="77777777" w:rsidTr="006A2E2A">
        <w:tc>
          <w:tcPr>
            <w:tcW w:w="990" w:type="dxa"/>
          </w:tcPr>
          <w:p w14:paraId="53D5B760" w14:textId="3BAF3E5A" w:rsidR="006A2E2A" w:rsidRDefault="006A2E2A" w:rsidP="009F1147">
            <w:pPr>
              <w:tabs>
                <w:tab w:val="center" w:pos="6480"/>
              </w:tabs>
              <w:autoSpaceDE w:val="0"/>
              <w:autoSpaceDN w:val="0"/>
              <w:adjustRightInd w:val="0"/>
              <w:rPr>
                <w:rFonts w:cs="Arial"/>
                <w:sz w:val="20"/>
                <w:szCs w:val="20"/>
              </w:rPr>
            </w:pPr>
            <w:r>
              <w:rPr>
                <w:rFonts w:cs="Arial"/>
                <w:sz w:val="20"/>
                <w:szCs w:val="20"/>
              </w:rPr>
              <w:t>54</w:t>
            </w:r>
          </w:p>
        </w:tc>
        <w:tc>
          <w:tcPr>
            <w:tcW w:w="1620" w:type="dxa"/>
          </w:tcPr>
          <w:p w14:paraId="48E8CA72" w14:textId="4CF7C408"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G_2mi</w:t>
            </w:r>
          </w:p>
        </w:tc>
        <w:tc>
          <w:tcPr>
            <w:tcW w:w="5850" w:type="dxa"/>
          </w:tcPr>
          <w:p w14:paraId="25AB58D3" w14:textId="58284FBB"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G statistic for own race, using 2-mile definition of neighbors</w:t>
            </w:r>
          </w:p>
        </w:tc>
        <w:tc>
          <w:tcPr>
            <w:tcW w:w="2160" w:type="dxa"/>
          </w:tcPr>
          <w:p w14:paraId="397B4F39" w14:textId="77777777" w:rsidR="006A2E2A" w:rsidRPr="003A3BF5" w:rsidRDefault="006A2E2A" w:rsidP="00FC79F5">
            <w:pPr>
              <w:rPr>
                <w:rFonts w:cstheme="minorHAnsi"/>
                <w:sz w:val="20"/>
                <w:szCs w:val="20"/>
              </w:rPr>
            </w:pPr>
          </w:p>
        </w:tc>
      </w:tr>
      <w:tr w:rsidR="006A2E2A" w14:paraId="02641906" w14:textId="77777777" w:rsidTr="006A2E2A">
        <w:tc>
          <w:tcPr>
            <w:tcW w:w="990" w:type="dxa"/>
          </w:tcPr>
          <w:p w14:paraId="1AE26F1F" w14:textId="5520AF68" w:rsidR="006A2E2A" w:rsidRDefault="006A2E2A" w:rsidP="009F1147">
            <w:pPr>
              <w:tabs>
                <w:tab w:val="center" w:pos="6480"/>
              </w:tabs>
              <w:autoSpaceDE w:val="0"/>
              <w:autoSpaceDN w:val="0"/>
              <w:adjustRightInd w:val="0"/>
              <w:rPr>
                <w:rFonts w:cs="Arial"/>
                <w:sz w:val="20"/>
                <w:szCs w:val="20"/>
              </w:rPr>
            </w:pPr>
            <w:r>
              <w:rPr>
                <w:rFonts w:cs="Arial"/>
                <w:sz w:val="20"/>
                <w:szCs w:val="20"/>
              </w:rPr>
              <w:t>55</w:t>
            </w:r>
          </w:p>
        </w:tc>
        <w:tc>
          <w:tcPr>
            <w:tcW w:w="1620" w:type="dxa"/>
          </w:tcPr>
          <w:p w14:paraId="7BCDA9C9" w14:textId="61F60A68" w:rsidR="006A2E2A" w:rsidRPr="003A3BF5" w:rsidRDefault="006A2E2A" w:rsidP="009F1147">
            <w:pPr>
              <w:tabs>
                <w:tab w:val="center" w:pos="6480"/>
              </w:tabs>
              <w:autoSpaceDE w:val="0"/>
              <w:autoSpaceDN w:val="0"/>
              <w:adjustRightInd w:val="0"/>
              <w:rPr>
                <w:rFonts w:cs="Arial"/>
                <w:sz w:val="20"/>
                <w:szCs w:val="20"/>
              </w:rPr>
            </w:pPr>
            <w:r w:rsidRPr="003A3BF5">
              <w:rPr>
                <w:rFonts w:cs="Arial"/>
                <w:sz w:val="20"/>
                <w:szCs w:val="20"/>
              </w:rPr>
              <w:t>p_2mi</w:t>
            </w:r>
          </w:p>
        </w:tc>
        <w:tc>
          <w:tcPr>
            <w:tcW w:w="5850" w:type="dxa"/>
          </w:tcPr>
          <w:p w14:paraId="1BF786B2" w14:textId="36FA23FB" w:rsidR="006A2E2A" w:rsidRPr="003A3BF5" w:rsidRDefault="006A2E2A" w:rsidP="009F1147">
            <w:pPr>
              <w:tabs>
                <w:tab w:val="center" w:pos="6480"/>
              </w:tabs>
              <w:autoSpaceDE w:val="0"/>
              <w:autoSpaceDN w:val="0"/>
              <w:adjustRightInd w:val="0"/>
              <w:rPr>
                <w:rFonts w:cstheme="minorHAnsi"/>
                <w:sz w:val="20"/>
                <w:szCs w:val="20"/>
              </w:rPr>
            </w:pPr>
            <w:r w:rsidRPr="003A3BF5">
              <w:rPr>
                <w:rFonts w:cstheme="minorHAnsi"/>
                <w:sz w:val="20"/>
                <w:szCs w:val="20"/>
              </w:rPr>
              <w:t>P value for G statistic for own race, using 2-mile definition of neighbors</w:t>
            </w:r>
          </w:p>
        </w:tc>
        <w:tc>
          <w:tcPr>
            <w:tcW w:w="2160" w:type="dxa"/>
          </w:tcPr>
          <w:p w14:paraId="01F72C1D" w14:textId="77777777" w:rsidR="006A2E2A" w:rsidRPr="003A3BF5" w:rsidRDefault="006A2E2A" w:rsidP="00FC79F5">
            <w:pPr>
              <w:rPr>
                <w:rFonts w:cstheme="minorHAnsi"/>
                <w:sz w:val="20"/>
                <w:szCs w:val="20"/>
              </w:rPr>
            </w:pPr>
          </w:p>
        </w:tc>
      </w:tr>
    </w:tbl>
    <w:p w14:paraId="224C8E04" w14:textId="77777777" w:rsidR="00832A97" w:rsidRDefault="00832A97" w:rsidP="005D54B5">
      <w:pPr>
        <w:pStyle w:val="Heading1"/>
      </w:pPr>
    </w:p>
    <w:p w14:paraId="6DF0ED0B" w14:textId="77777777" w:rsidR="00832A97" w:rsidRDefault="00832A97">
      <w:pPr>
        <w:rPr>
          <w:rFonts w:asciiTheme="majorHAnsi" w:eastAsiaTheme="majorEastAsia" w:hAnsiTheme="majorHAnsi" w:cstheme="majorBidi"/>
          <w:b/>
          <w:bCs/>
          <w:color w:val="365F91" w:themeColor="accent1" w:themeShade="BF"/>
          <w:sz w:val="28"/>
          <w:szCs w:val="28"/>
          <w:u w:val="single"/>
        </w:rPr>
      </w:pPr>
      <w:r>
        <w:br w:type="page"/>
      </w:r>
    </w:p>
    <w:p w14:paraId="4EC2A4AC" w14:textId="77777777" w:rsidR="005D54B5" w:rsidRDefault="005D54B5" w:rsidP="005D54B5">
      <w:pPr>
        <w:pStyle w:val="Heading1"/>
      </w:pPr>
      <w:r>
        <w:lastRenderedPageBreak/>
        <w:t>Details:</w:t>
      </w:r>
    </w:p>
    <w:p w14:paraId="1C34470F" w14:textId="6BA7947E" w:rsidR="00AC7688" w:rsidRDefault="00AC7688" w:rsidP="005D54B5">
      <w:pPr>
        <w:pStyle w:val="Heading2"/>
      </w:pPr>
      <w:r>
        <w:t xml:space="preserve">Theory: </w:t>
      </w:r>
      <w:proofErr w:type="spellStart"/>
      <w:r>
        <w:t>Getis-Ord</w:t>
      </w:r>
      <w:proofErr w:type="spellEnd"/>
      <w:r>
        <w:t xml:space="preserve"> </w:t>
      </w:r>
      <w:proofErr w:type="spellStart"/>
      <w:r>
        <w:t>G</w:t>
      </w:r>
      <w:r w:rsidR="008774A2">
        <w:t>i</w:t>
      </w:r>
      <w:proofErr w:type="spellEnd"/>
      <w:r w:rsidR="008774A2">
        <w:t xml:space="preserve">* </w:t>
      </w:r>
      <w:r w:rsidR="00A30F5E">
        <w:t>S</w:t>
      </w:r>
      <w:r w:rsidR="000B7A95">
        <w:t>tatistic</w:t>
      </w:r>
    </w:p>
    <w:p w14:paraId="1C96C57F" w14:textId="77777777" w:rsidR="00120DAF" w:rsidRDefault="000B7A95" w:rsidP="00B4321C">
      <w:r>
        <w:t xml:space="preserve">Arthur </w:t>
      </w:r>
      <w:proofErr w:type="spellStart"/>
      <w:r>
        <w:t>Getis</w:t>
      </w:r>
      <w:proofErr w:type="spellEnd"/>
      <w:r>
        <w:t xml:space="preserve"> and Keith </w:t>
      </w:r>
      <w:proofErr w:type="spellStart"/>
      <w:r>
        <w:t>Ord</w:t>
      </w:r>
      <w:proofErr w:type="spellEnd"/>
      <w:r>
        <w:t xml:space="preserve"> </w:t>
      </w:r>
      <w:r w:rsidR="00127188">
        <w:t xml:space="preserve">developed </w:t>
      </w:r>
      <w:r>
        <w:t>G</w:t>
      </w:r>
      <w:r w:rsidR="00127188">
        <w:t xml:space="preserve"> statistic</w:t>
      </w:r>
      <w:r w:rsidR="00C446D4">
        <w:t>s</w:t>
      </w:r>
      <w:r w:rsidR="00120DAF">
        <w:rPr>
          <w:rStyle w:val="FootnoteReference"/>
        </w:rPr>
        <w:footnoteReference w:id="1"/>
      </w:r>
      <w:r w:rsidR="00120DAF">
        <w:t xml:space="preserve"> as a way to quantify spatial clustering that could distinguish between clusters of higher-than-expected values and clusters of lower-than-expected values.  G statistics determine whether the local average is higher or lower than the global average (in contrast to Moran’s I, which determine whether an index unit is similar to its neighbors).  </w:t>
      </w:r>
      <w:r w:rsidR="00120DAF">
        <w:fldChar w:fldCharType="begin"/>
      </w:r>
      <w:r w:rsidR="00120DAF">
        <w:instrText xml:space="preserve"> REF _Ref356998234 \h </w:instrText>
      </w:r>
      <w:r w:rsidR="00120DAF">
        <w:fldChar w:fldCharType="separate"/>
      </w:r>
      <w:r w:rsidR="0037542C">
        <w:t xml:space="preserve">Figure </w:t>
      </w:r>
      <w:r w:rsidR="0037542C">
        <w:rPr>
          <w:noProof/>
        </w:rPr>
        <w:t>1</w:t>
      </w:r>
      <w:r w:rsidR="00120DAF">
        <w:fldChar w:fldCharType="end"/>
      </w:r>
      <w:r w:rsidR="00120DAF">
        <w:t xml:space="preserve"> shows the formula for the </w:t>
      </w:r>
      <w:proofErr w:type="spellStart"/>
      <w:r w:rsidR="00120DAF">
        <w:t>Getis-Ord</w:t>
      </w:r>
      <w:proofErr w:type="spellEnd"/>
      <w:r w:rsidR="00120DAF">
        <w:t xml:space="preserve"> </w:t>
      </w:r>
      <w:proofErr w:type="spellStart"/>
      <w:r w:rsidR="00120DAF">
        <w:t>G</w:t>
      </w:r>
      <w:r w:rsidR="00120DAF" w:rsidRPr="00127188">
        <w:rPr>
          <w:vertAlign w:val="subscript"/>
        </w:rPr>
        <w:t>i</w:t>
      </w:r>
      <w:proofErr w:type="spellEnd"/>
      <w:r w:rsidR="00120DAF">
        <w:t xml:space="preserve">* statistic, which is the statistic that has been calculated for use in MESA.  </w:t>
      </w:r>
      <w:proofErr w:type="spellStart"/>
      <w:r w:rsidR="00120DAF">
        <w:t>G</w:t>
      </w:r>
      <w:r w:rsidR="00120DAF" w:rsidRPr="002442D9">
        <w:rPr>
          <w:vertAlign w:val="subscript"/>
        </w:rPr>
        <w:t>i</w:t>
      </w:r>
      <w:proofErr w:type="spellEnd"/>
      <w:r w:rsidR="00120DAF">
        <w:t xml:space="preserve">* is calculated as the sum of X values for a unit and its neighbors is compared to the expected value if there is no clustering (e.g. the global average of X), and then standardized.  The </w:t>
      </w:r>
      <w:proofErr w:type="spellStart"/>
      <w:r w:rsidR="00120DAF">
        <w:t>G</w:t>
      </w:r>
      <w:r w:rsidR="00120DAF" w:rsidRPr="00127188">
        <w:rPr>
          <w:vertAlign w:val="subscript"/>
        </w:rPr>
        <w:t>i</w:t>
      </w:r>
      <w:proofErr w:type="spellEnd"/>
      <w:r w:rsidR="00120DAF">
        <w:t xml:space="preserve">* statistic is a z-score, meaning that </w:t>
      </w:r>
      <w:proofErr w:type="spellStart"/>
      <w:r w:rsidR="00120DAF">
        <w:t>G</w:t>
      </w:r>
      <w:r w:rsidR="00120DAF" w:rsidRPr="00127188">
        <w:rPr>
          <w:vertAlign w:val="subscript"/>
        </w:rPr>
        <w:t>i</w:t>
      </w:r>
      <w:proofErr w:type="spellEnd"/>
      <w:r w:rsidR="00120DAF">
        <w:t xml:space="preserve">* values greater than 1.96 or less than -1.96 are considered statistically significant at </w:t>
      </w:r>
      <m:oMath>
        <m:r>
          <w:rPr>
            <w:rFonts w:ascii="Cambria Math" w:hAnsi="Cambria Math"/>
          </w:rPr>
          <m:t>α</m:t>
        </m:r>
      </m:oMath>
      <w:r w:rsidR="00120DAF">
        <w:t xml:space="preserve">=0.05.  A statistically significant positive </w:t>
      </w:r>
      <w:proofErr w:type="spellStart"/>
      <w:r w:rsidR="00120DAF">
        <w:t>G</w:t>
      </w:r>
      <w:r w:rsidR="00120DAF" w:rsidRPr="00127188">
        <w:rPr>
          <w:vertAlign w:val="subscript"/>
        </w:rPr>
        <w:t>i</w:t>
      </w:r>
      <w:proofErr w:type="spellEnd"/>
      <w:r w:rsidR="00120DAF">
        <w:t>* value (</w:t>
      </w:r>
      <w:proofErr w:type="spellStart"/>
      <w:r w:rsidR="00120DAF">
        <w:t>G</w:t>
      </w:r>
      <w:r w:rsidR="00120DAF" w:rsidRPr="00127188">
        <w:rPr>
          <w:vertAlign w:val="subscript"/>
        </w:rPr>
        <w:t>i</w:t>
      </w:r>
      <w:proofErr w:type="spellEnd"/>
      <w:r w:rsidR="00120DAF">
        <w:t xml:space="preserve">*&gt;1.96) represents a ‘hot spot,’ indicating that </w:t>
      </w:r>
      <w:r w:rsidR="00167892">
        <w:t xml:space="preserve">there is </w:t>
      </w:r>
      <w:r w:rsidR="00120DAF">
        <w:t xml:space="preserve">clustering of high values </w:t>
      </w:r>
      <w:r w:rsidR="00167892">
        <w:t xml:space="preserve">around unit </w:t>
      </w:r>
      <w:proofErr w:type="spellStart"/>
      <w:r w:rsidR="00167892" w:rsidRPr="00167892">
        <w:rPr>
          <w:i/>
        </w:rPr>
        <w:t>i</w:t>
      </w:r>
      <w:proofErr w:type="spellEnd"/>
      <w:r w:rsidR="00120DAF">
        <w:t xml:space="preserve">.  A statistically significant negative </w:t>
      </w:r>
      <w:proofErr w:type="spellStart"/>
      <w:r w:rsidR="00120DAF">
        <w:t>G</w:t>
      </w:r>
      <w:r w:rsidR="00120DAF" w:rsidRPr="00127188">
        <w:rPr>
          <w:vertAlign w:val="subscript"/>
        </w:rPr>
        <w:t>i</w:t>
      </w:r>
      <w:proofErr w:type="spellEnd"/>
      <w:r w:rsidR="00120DAF">
        <w:t>* value (</w:t>
      </w:r>
      <w:proofErr w:type="spellStart"/>
      <w:r w:rsidR="00120DAF">
        <w:t>G</w:t>
      </w:r>
      <w:r w:rsidR="00120DAF" w:rsidRPr="00127188">
        <w:rPr>
          <w:vertAlign w:val="subscript"/>
        </w:rPr>
        <w:t>i</w:t>
      </w:r>
      <w:proofErr w:type="spellEnd"/>
      <w:r w:rsidR="00120DAF">
        <w:t xml:space="preserve">*&lt;-1.96) is a ‘cold spot,’ indicating that clustering of low values is present </w:t>
      </w:r>
      <w:r w:rsidR="00167892">
        <w:t xml:space="preserve">around </w:t>
      </w:r>
      <w:proofErr w:type="spellStart"/>
      <w:r w:rsidR="00167892" w:rsidRPr="00167892">
        <w:rPr>
          <w:i/>
        </w:rPr>
        <w:t>i</w:t>
      </w:r>
      <w:proofErr w:type="spellEnd"/>
      <w:r w:rsidR="00120DAF">
        <w:t xml:space="preserve">.  (Note that </w:t>
      </w:r>
      <w:proofErr w:type="spellStart"/>
      <w:r w:rsidR="00120DAF">
        <w:t>G</w:t>
      </w:r>
      <w:r w:rsidR="00120DAF" w:rsidRPr="003A3BF5">
        <w:rPr>
          <w:vertAlign w:val="subscript"/>
        </w:rPr>
        <w:t>i</w:t>
      </w:r>
      <w:proofErr w:type="spellEnd"/>
      <w:r w:rsidR="00120DAF">
        <w:t>* is a local statistic, while the similar ‘general’ G statistic is a global measure of clustering.</w:t>
      </w:r>
      <w:r w:rsidR="00120DAF">
        <w:rPr>
          <w:rStyle w:val="FootnoteReference"/>
        </w:rPr>
        <w:footnoteReference w:id="2"/>
      </w:r>
      <w:r w:rsidR="00120DAF">
        <w:t>)</w:t>
      </w:r>
    </w:p>
    <w:p w14:paraId="5F2351B5" w14:textId="77777777" w:rsidR="00120DAF" w:rsidRDefault="00120DAF" w:rsidP="005C343E">
      <w:pPr>
        <w:keepNext/>
        <w:spacing w:after="0"/>
        <w:jc w:val="center"/>
      </w:pPr>
      <w:r>
        <w:rPr>
          <w:noProof/>
        </w:rPr>
        <w:drawing>
          <wp:inline distT="0" distB="0" distL="0" distR="0" wp14:anchorId="0EBC3A54" wp14:editId="66167265">
            <wp:extent cx="4572000" cy="3289825"/>
            <wp:effectExtent l="0" t="0" r="0" b="6350"/>
            <wp:docPr id="1" name="Picture 1" descr="C:\Users\pbkaiser\Desktop\Gi^ 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kaiser\Desktop\Gi^ formul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89825"/>
                    </a:xfrm>
                    <a:prstGeom prst="rect">
                      <a:avLst/>
                    </a:prstGeom>
                    <a:noFill/>
                    <a:ln>
                      <a:noFill/>
                    </a:ln>
                  </pic:spPr>
                </pic:pic>
              </a:graphicData>
            </a:graphic>
          </wp:inline>
        </w:drawing>
      </w:r>
    </w:p>
    <w:p w14:paraId="69026BE9" w14:textId="77777777" w:rsidR="00120DAF" w:rsidRPr="008F7D85" w:rsidRDefault="00120DAF" w:rsidP="008774A2">
      <w:pPr>
        <w:pStyle w:val="Caption"/>
        <w:jc w:val="center"/>
        <w:rPr>
          <w:sz w:val="16"/>
        </w:rPr>
      </w:pPr>
      <w:bookmarkStart w:id="1" w:name="_Ref356998234"/>
      <w:proofErr w:type="gramStart"/>
      <w:r>
        <w:t xml:space="preserve">Figure </w:t>
      </w:r>
      <w:fldSimple w:instr=" SEQ Figure \* ARABIC ">
        <w:r w:rsidR="0037542C">
          <w:rPr>
            <w:noProof/>
          </w:rPr>
          <w:t>1</w:t>
        </w:r>
      </w:fldSimple>
      <w:bookmarkEnd w:id="1"/>
      <w:r>
        <w:t>.</w:t>
      </w:r>
      <w:proofErr w:type="gramEnd"/>
      <w:r>
        <w:t xml:space="preserve"> (From ESRI, “How Hot Spot Analysis (</w:t>
      </w:r>
      <w:proofErr w:type="spellStart"/>
      <w:r>
        <w:t>Getis-Ord</w:t>
      </w:r>
      <w:proofErr w:type="spellEnd"/>
      <w:r>
        <w:t xml:space="preserve"> </w:t>
      </w:r>
      <w:proofErr w:type="spellStart"/>
      <w:r>
        <w:t>Gi</w:t>
      </w:r>
      <w:proofErr w:type="spellEnd"/>
      <w:r>
        <w:t xml:space="preserve">*) works”) </w:t>
      </w:r>
      <w:hyperlink r:id="rId10" w:anchor="//005p00000011000000" w:history="1">
        <w:r w:rsidRPr="008F7D85">
          <w:rPr>
            <w:rStyle w:val="Hyperlink"/>
            <w:sz w:val="16"/>
          </w:rPr>
          <w:t>http://help.arcgis.com/en/arcgisdesktop/10.0/help/index.html#//005p00000011000000</w:t>
        </w:r>
      </w:hyperlink>
    </w:p>
    <w:p w14:paraId="1CF2BDB6" w14:textId="77777777" w:rsidR="00120DAF" w:rsidRPr="008F7D85" w:rsidRDefault="00120DAF" w:rsidP="008F7D85"/>
    <w:p w14:paraId="2764B075" w14:textId="77777777" w:rsidR="00120DAF" w:rsidRDefault="002A6882" w:rsidP="00B4321C">
      <w:r>
        <w:t xml:space="preserve">The numerator of the formula is the weighted sum of X for the neighbors of unit </w:t>
      </w:r>
      <w:proofErr w:type="spellStart"/>
      <w:r>
        <w:rPr>
          <w:i/>
        </w:rPr>
        <w:t>i</w:t>
      </w:r>
      <w:proofErr w:type="spellEnd"/>
      <w:r>
        <w:t xml:space="preserve"> minus the global average of X.  So the choice of area for which </w:t>
      </w:r>
      <w:proofErr w:type="spellStart"/>
      <w:r>
        <w:t>G</w:t>
      </w:r>
      <w:r w:rsidRPr="003A3BF5">
        <w:rPr>
          <w:vertAlign w:val="subscript"/>
        </w:rPr>
        <w:t>i</w:t>
      </w:r>
      <w:proofErr w:type="spellEnd"/>
      <w:r>
        <w:t xml:space="preserve">* statistics are being calculated affects the results; for </w:t>
      </w:r>
      <w:r>
        <w:lastRenderedPageBreak/>
        <w:t>example, being a statistically significant ‘hot spot’ of percent black residents in relation to the five-county area around Los Angeles is different than being a statistically significant ‘hot spot’ of percent black residents in relation to the urban Los Angeles area.</w:t>
      </w:r>
    </w:p>
    <w:p w14:paraId="5CD23AF7" w14:textId="1F60A181" w:rsidR="00B32C93" w:rsidRDefault="00B32C93" w:rsidP="005D54B5">
      <w:pPr>
        <w:pStyle w:val="Heading2"/>
      </w:pPr>
      <w:r>
        <w:t xml:space="preserve">Theory: </w:t>
      </w:r>
      <w:r w:rsidR="00A30F5E">
        <w:t>S</w:t>
      </w:r>
      <w:r>
        <w:t xml:space="preserve">patial </w:t>
      </w:r>
      <w:r w:rsidR="00A30F5E">
        <w:t>W</w:t>
      </w:r>
      <w:r>
        <w:t xml:space="preserve">eights </w:t>
      </w:r>
      <w:r w:rsidR="00A30F5E">
        <w:t>M</w:t>
      </w:r>
      <w:r>
        <w:t>atrices</w:t>
      </w:r>
    </w:p>
    <w:p w14:paraId="082CF3FE" w14:textId="0066155C" w:rsidR="00B32C93" w:rsidRDefault="00CD21FD" w:rsidP="00B32C93">
      <w:r>
        <w:rPr>
          <w:noProof/>
        </w:rPr>
        <mc:AlternateContent>
          <mc:Choice Requires="wps">
            <w:drawing>
              <wp:anchor distT="0" distB="0" distL="114300" distR="114300" simplePos="0" relativeHeight="251659264" behindDoc="0" locked="0" layoutInCell="1" allowOverlap="1" wp14:anchorId="062F6A48" wp14:editId="35971750">
                <wp:simplePos x="0" y="0"/>
                <wp:positionH relativeFrom="column">
                  <wp:posOffset>3409950</wp:posOffset>
                </wp:positionH>
                <wp:positionV relativeFrom="paragraph">
                  <wp:posOffset>753745</wp:posOffset>
                </wp:positionV>
                <wp:extent cx="2359025" cy="1944370"/>
                <wp:effectExtent l="0" t="0" r="22860" b="1841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944370"/>
                        </a:xfrm>
                        <a:prstGeom prst="rect">
                          <a:avLst/>
                        </a:prstGeom>
                        <a:solidFill>
                          <a:srgbClr val="FFFFFF"/>
                        </a:solidFill>
                        <a:ln w="9525">
                          <a:solidFill>
                            <a:srgbClr val="000000"/>
                          </a:solidFill>
                          <a:miter lim="800000"/>
                          <a:headEnd/>
                          <a:tailEnd/>
                        </a:ln>
                      </wps:spPr>
                      <wps:txbx>
                        <w:txbxContent>
                          <w:p w14:paraId="44EE9F88" w14:textId="77777777" w:rsidR="00B32C93" w:rsidRDefault="00B32C93" w:rsidP="00B32C93">
                            <w:r w:rsidRPr="00BB5882">
                              <w:rPr>
                                <w:noProof/>
                              </w:rPr>
                              <w:drawing>
                                <wp:inline distT="0" distB="0" distL="0" distR="0" wp14:anchorId="62224E3A" wp14:editId="591FEB9F">
                                  <wp:extent cx="2182495" cy="136988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495" cy="1369886"/>
                                          </a:xfrm>
                                          <a:prstGeom prst="rect">
                                            <a:avLst/>
                                          </a:prstGeom>
                                          <a:noFill/>
                                          <a:ln>
                                            <a:noFill/>
                                          </a:ln>
                                        </pic:spPr>
                                      </pic:pic>
                                    </a:graphicData>
                                  </a:graphic>
                                </wp:inline>
                              </w:drawing>
                            </w:r>
                          </w:p>
                          <w:p w14:paraId="116B0E5C" w14:textId="77777777" w:rsidR="00B32C93" w:rsidRPr="00BB5882" w:rsidRDefault="00B32C93" w:rsidP="00B32C93">
                            <w:pPr>
                              <w:spacing w:after="0"/>
                              <w:rPr>
                                <w:i/>
                                <w:sz w:val="18"/>
                              </w:rPr>
                            </w:pPr>
                            <w:r w:rsidRPr="00BB5882">
                              <w:rPr>
                                <w:i/>
                                <w:sz w:val="18"/>
                              </w:rPr>
                              <w:t>Credit: Paul Voss &amp; Katherine Curtis, ICPSR “Spatial Regression” 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5pt;margin-top:59.35pt;width:185.75pt;height:153.1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">
                <v:textbox style="mso-fit-shape-to-text:t">
                  <w:txbxContent>
                    <w:p w14:paraId="44EE9F88" w14:textId="77777777" w:rsidR="00B32C93" w:rsidRDefault="00B32C93" w:rsidP="00B32C93">
                      <w:r w:rsidRPr="00BB5882">
                        <w:rPr>
                          <w:noProof/>
                        </w:rPr>
                        <w:drawing>
                          <wp:inline distT="0" distB="0" distL="0" distR="0" wp14:anchorId="62224E3A" wp14:editId="591FEB9F">
                            <wp:extent cx="2182495" cy="136988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95" cy="1369886"/>
                                    </a:xfrm>
                                    <a:prstGeom prst="rect">
                                      <a:avLst/>
                                    </a:prstGeom>
                                    <a:noFill/>
                                    <a:ln>
                                      <a:noFill/>
                                    </a:ln>
                                  </pic:spPr>
                                </pic:pic>
                              </a:graphicData>
                            </a:graphic>
                          </wp:inline>
                        </w:drawing>
                      </w:r>
                    </w:p>
                    <w:p w14:paraId="116B0E5C" w14:textId="77777777" w:rsidR="00B32C93" w:rsidRPr="00BB5882" w:rsidRDefault="00B32C93" w:rsidP="00B32C93">
                      <w:pPr>
                        <w:spacing w:after="0"/>
                        <w:rPr>
                          <w:i/>
                          <w:sz w:val="18"/>
                        </w:rPr>
                      </w:pPr>
                      <w:r w:rsidRPr="00BB5882">
                        <w:rPr>
                          <w:i/>
                          <w:sz w:val="18"/>
                        </w:rPr>
                        <w:t>Credit: Paul Voss &amp; Katherine Curtis, ICPSR “Spatial Regression” 2012</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40CFA9C" wp14:editId="5C6046E0">
                <wp:simplePos x="0" y="0"/>
                <wp:positionH relativeFrom="column">
                  <wp:posOffset>3415030</wp:posOffset>
                </wp:positionH>
                <wp:positionV relativeFrom="paragraph">
                  <wp:posOffset>2779395</wp:posOffset>
                </wp:positionV>
                <wp:extent cx="3209925" cy="467995"/>
                <wp:effectExtent l="0" t="0" r="952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467995"/>
                        </a:xfrm>
                        <a:prstGeom prst="rect">
                          <a:avLst/>
                        </a:prstGeom>
                        <a:solidFill>
                          <a:prstClr val="white"/>
                        </a:solidFill>
                        <a:ln>
                          <a:noFill/>
                        </a:ln>
                        <a:effectLst/>
                      </wps:spPr>
                      <wps:txbx>
                        <w:txbxContent>
                          <w:p w14:paraId="09AE9DD6" w14:textId="77777777" w:rsidR="00B32C93" w:rsidRPr="00DE0B68" w:rsidRDefault="00B32C93" w:rsidP="00B32C93">
                            <w:pPr>
                              <w:pStyle w:val="Caption"/>
                              <w:rPr>
                                <w:noProof/>
                                <w:szCs w:val="22"/>
                              </w:rPr>
                            </w:pPr>
                            <w:bookmarkStart w:id="2" w:name="_Ref356995776"/>
                            <w:proofErr w:type="gramStart"/>
                            <w:r w:rsidRPr="00DE0B68">
                              <w:rPr>
                                <w:szCs w:val="22"/>
                              </w:rPr>
                              <w:t xml:space="preserve">Figure </w:t>
                            </w:r>
                            <w:bookmarkEnd w:id="2"/>
                            <w:r>
                              <w:rPr>
                                <w:szCs w:val="22"/>
                              </w:rPr>
                              <w:t>2</w:t>
                            </w:r>
                            <w:r w:rsidRPr="00DE0B68">
                              <w:rPr>
                                <w:szCs w:val="22"/>
                              </w:rPr>
                              <w:t>.</w:t>
                            </w:r>
                            <w:proofErr w:type="gramEnd"/>
                            <w:r w:rsidRPr="00DE0B68">
                              <w:rPr>
                                <w:szCs w:val="22"/>
                              </w:rPr>
                              <w:t xml:space="preserve"> </w:t>
                            </w:r>
                            <w:proofErr w:type="gramStart"/>
                            <w:r w:rsidRPr="00DE0B68">
                              <w:rPr>
                                <w:szCs w:val="22"/>
                              </w:rPr>
                              <w:t>Simple illustration of queen vs. rook definition of neighbors.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8.9pt;margin-top:218.85pt;width:252.7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" stroked="f">
                <v:path arrowok="t"/>
                <v:textbox style="mso-fit-shape-to-text:t" inset="0,0,0,0">
                  <w:txbxContent>
                    <w:p w14:paraId="09AE9DD6" w14:textId="77777777" w:rsidR="00B32C93" w:rsidRPr="00DE0B68" w:rsidRDefault="00B32C93" w:rsidP="00B32C93">
                      <w:pPr>
                        <w:pStyle w:val="Caption"/>
                        <w:rPr>
                          <w:noProof/>
                          <w:szCs w:val="22"/>
                        </w:rPr>
                      </w:pPr>
                      <w:bookmarkStart w:id="2" w:name="_Ref356995776"/>
                      <w:proofErr w:type="gramStart"/>
                      <w:r w:rsidRPr="00DE0B68">
                        <w:rPr>
                          <w:szCs w:val="22"/>
                        </w:rPr>
                        <w:t xml:space="preserve">Figure </w:t>
                      </w:r>
                      <w:bookmarkEnd w:id="2"/>
                      <w:r>
                        <w:rPr>
                          <w:szCs w:val="22"/>
                        </w:rPr>
                        <w:t>2</w:t>
                      </w:r>
                      <w:r w:rsidRPr="00DE0B68">
                        <w:rPr>
                          <w:szCs w:val="22"/>
                        </w:rPr>
                        <w:t>.</w:t>
                      </w:r>
                      <w:proofErr w:type="gramEnd"/>
                      <w:r w:rsidRPr="00DE0B68">
                        <w:rPr>
                          <w:szCs w:val="22"/>
                        </w:rPr>
                        <w:t xml:space="preserve"> </w:t>
                      </w:r>
                      <w:proofErr w:type="gramStart"/>
                      <w:r w:rsidRPr="00DE0B68">
                        <w:rPr>
                          <w:szCs w:val="22"/>
                        </w:rPr>
                        <w:t>Simple illustration of queen vs. rook definition of neighbors.</w:t>
                      </w:r>
                      <w:proofErr w:type="gramEnd"/>
                    </w:p>
                  </w:txbxContent>
                </v:textbox>
                <w10:wrap type="square"/>
              </v:shape>
            </w:pict>
          </mc:Fallback>
        </mc:AlternateContent>
      </w:r>
      <w:r w:rsidR="00B32C93">
        <w:t>Spatial analysis explores the impact of neighboring locations on an association of interest.  Spatial weights matrices (SWMs) specify which tracts are ‘neighbors’ to any index tract.  There are many ways to define ‘neighbors’; we used four distinct conceptualizations of the spatial relationships between tracts:</w:t>
      </w:r>
    </w:p>
    <w:p w14:paraId="3F991E15" w14:textId="77777777" w:rsidR="00B32C93" w:rsidRDefault="00B32C93" w:rsidP="00B32C93">
      <w:pPr>
        <w:pStyle w:val="ListParagraph"/>
        <w:numPr>
          <w:ilvl w:val="0"/>
          <w:numId w:val="4"/>
        </w:numPr>
      </w:pPr>
      <w:r>
        <w:t>First order rook (contiguity edges only)</w:t>
      </w:r>
    </w:p>
    <w:p w14:paraId="7023D80E" w14:textId="77777777" w:rsidR="00B32C93" w:rsidRDefault="00B32C93" w:rsidP="00B32C93">
      <w:pPr>
        <w:pStyle w:val="ListParagraph"/>
        <w:numPr>
          <w:ilvl w:val="1"/>
          <w:numId w:val="4"/>
        </w:numPr>
        <w:spacing w:before="240"/>
      </w:pPr>
      <w:r>
        <w:t xml:space="preserve">By this definition, a tract that shares a border with the index tract is considered to be a neighbor.  ArcGIS calls this definition “contiguity edges only” (in contrast to a “contiguity edges corners,” also called a ‘queen’ definition, in which any tract that touches the index tract – even at just a point – is considered a neighbor; see </w:t>
      </w:r>
      <w:r>
        <w:fldChar w:fldCharType="begin"/>
      </w:r>
      <w:r>
        <w:instrText xml:space="preserve"> REF _Ref356995776 \h </w:instrText>
      </w:r>
      <w:r>
        <w:fldChar w:fldCharType="separate"/>
      </w:r>
      <w:r w:rsidRPr="00DE0B68">
        <w:t xml:space="preserve">Figure </w:t>
      </w:r>
      <w:r>
        <w:rPr>
          <w:noProof/>
        </w:rPr>
        <w:t>2</w:t>
      </w:r>
      <w:r>
        <w:fldChar w:fldCharType="end"/>
      </w:r>
      <w:r>
        <w:t xml:space="preserve"> for an illustration).</w:t>
      </w:r>
    </w:p>
    <w:p w14:paraId="2A24756B" w14:textId="77777777" w:rsidR="00B32C93" w:rsidRDefault="00B32C93" w:rsidP="00B32C93">
      <w:pPr>
        <w:pStyle w:val="ListParagraph"/>
        <w:numPr>
          <w:ilvl w:val="1"/>
          <w:numId w:val="4"/>
        </w:numPr>
      </w:pPr>
      <w:r>
        <w:t>Because of the way that we selected tracts to include in the spatial weights matrices, every tract has at least one neighbor using the first order rook definition.</w:t>
      </w:r>
    </w:p>
    <w:p w14:paraId="53B945BD" w14:textId="77777777" w:rsidR="00B32C93" w:rsidRDefault="00B32C93" w:rsidP="00B32C93">
      <w:pPr>
        <w:pStyle w:val="ListParagraph"/>
        <w:numPr>
          <w:ilvl w:val="0"/>
          <w:numId w:val="4"/>
        </w:numPr>
      </w:pPr>
      <w:r>
        <w:t xml:space="preserve">1 mile fixed distance </w:t>
      </w:r>
    </w:p>
    <w:p w14:paraId="05B54286" w14:textId="77777777" w:rsidR="00B32C93" w:rsidRDefault="00B32C93" w:rsidP="00B32C93">
      <w:pPr>
        <w:pStyle w:val="ListParagraph"/>
        <w:numPr>
          <w:ilvl w:val="1"/>
          <w:numId w:val="4"/>
        </w:numPr>
      </w:pPr>
      <w:r>
        <w:t>By this definition, a tract whose centroid is within a 1-mile (1609.3 meters) radius around the centroid of the index tract is considered to be a neighbor.</w:t>
      </w:r>
    </w:p>
    <w:p w14:paraId="15C5C083" w14:textId="77777777" w:rsidR="00B32C93" w:rsidRDefault="00B32C93" w:rsidP="00B32C93">
      <w:pPr>
        <w:pStyle w:val="ListParagraph"/>
        <w:numPr>
          <w:ilvl w:val="1"/>
          <w:numId w:val="4"/>
        </w:numPr>
      </w:pPr>
      <w:r>
        <w:t>Where census tracts are small, each tract will tend to have more neighbors; if a tract is large enough so that its centroid is more than one mile from any edge, it will have no neighbors.  Some MESA tracts have no neighbors by this definition (see Table 3 for more information).</w:t>
      </w:r>
    </w:p>
    <w:p w14:paraId="5E770D0C" w14:textId="77777777" w:rsidR="00B32C93" w:rsidRDefault="00B32C93" w:rsidP="00B32C93">
      <w:pPr>
        <w:pStyle w:val="ListParagraph"/>
        <w:numPr>
          <w:ilvl w:val="0"/>
          <w:numId w:val="4"/>
        </w:numPr>
      </w:pPr>
      <w:r>
        <w:t>2 mile fixed distance</w:t>
      </w:r>
    </w:p>
    <w:p w14:paraId="183C6CB0" w14:textId="77777777" w:rsidR="00B32C93" w:rsidRDefault="00B32C93" w:rsidP="00B32C93">
      <w:pPr>
        <w:pStyle w:val="ListParagraph"/>
        <w:numPr>
          <w:ilvl w:val="1"/>
          <w:numId w:val="4"/>
        </w:numPr>
      </w:pPr>
      <w:r>
        <w:t>By this definition, a neighbor is a tract whose centroid is within a 2-mile (3218.7 meters) radius around the centroid of the index tract.</w:t>
      </w:r>
    </w:p>
    <w:p w14:paraId="612261EB" w14:textId="77777777" w:rsidR="00B32C93" w:rsidRDefault="00B32C93" w:rsidP="00B32C93">
      <w:pPr>
        <w:pStyle w:val="ListParagraph"/>
        <w:numPr>
          <w:ilvl w:val="1"/>
          <w:numId w:val="4"/>
        </w:numPr>
      </w:pPr>
      <w:r>
        <w:t>Similar to the 1 mile fixed distance definition, it’s possible for tracts to have no neighbors; the range in the number of neighbors is largest with this definition (see Table 3).</w:t>
      </w:r>
    </w:p>
    <w:p w14:paraId="7F13673C" w14:textId="77777777" w:rsidR="00B32C93" w:rsidRDefault="00B32C93" w:rsidP="00B32C93">
      <w:pPr>
        <w:pStyle w:val="ListParagraph"/>
        <w:numPr>
          <w:ilvl w:val="0"/>
          <w:numId w:val="4"/>
        </w:numPr>
      </w:pPr>
      <w:r>
        <w:t>1 mile inverse distance</w:t>
      </w:r>
    </w:p>
    <w:p w14:paraId="266C5419" w14:textId="77777777" w:rsidR="00B32C93" w:rsidRDefault="00B32C93" w:rsidP="00B32C93">
      <w:pPr>
        <w:pStyle w:val="ListParagraph"/>
        <w:numPr>
          <w:ilvl w:val="1"/>
          <w:numId w:val="4"/>
        </w:numPr>
      </w:pPr>
      <w:r>
        <w:t>Inverse distance is similar to fixed distance, except that the actual weight assigned to each neighboring tract depends on the distance from the index tract.  Specifically, tracts whose centroid is closer to the centroid of the index tract have a higher weight than tracts whose centroid is further away.  We used an exponent of one, e.g. a linear relationship between weight and distance.</w:t>
      </w:r>
    </w:p>
    <w:p w14:paraId="24E2FAC1" w14:textId="77777777" w:rsidR="00B32C93" w:rsidRDefault="00B32C93" w:rsidP="005D54B5">
      <w:pPr>
        <w:pStyle w:val="Heading2"/>
      </w:pPr>
      <w:r>
        <w:lastRenderedPageBreak/>
        <w:t>Selecting Census Tracts</w:t>
      </w:r>
    </w:p>
    <w:p w14:paraId="32BA9661" w14:textId="77777777" w:rsidR="00B32C93" w:rsidRDefault="00B32C93" w:rsidP="00B32C93">
      <w:pPr>
        <w:rPr>
          <w:i/>
        </w:rPr>
      </w:pPr>
      <w:r>
        <w:t xml:space="preserve">Tracts to include in each site were chosen to match the tracts that were used for calculating the built environment variables, which include the counties surrounding the MESA site and are intended to capture MESA participants at baseline and the majority of MESA participants who move within the site over time.  The counties included are listed in </w:t>
      </w:r>
      <w:r>
        <w:fldChar w:fldCharType="begin"/>
      </w:r>
      <w:r>
        <w:instrText xml:space="preserve"> REF _Ref356995741 \h </w:instrText>
      </w:r>
      <w:r>
        <w:fldChar w:fldCharType="separate"/>
      </w:r>
      <w:r>
        <w:t xml:space="preserve">Table </w:t>
      </w:r>
      <w:r w:rsidR="00986534">
        <w:rPr>
          <w:noProof/>
        </w:rPr>
        <w:t>2</w:t>
      </w:r>
      <w:r>
        <w:fldChar w:fldCharType="end"/>
      </w:r>
      <w:r>
        <w:t>.  All Census tract boundaries were defined by the 2000 Census.  These files have the race variables (% Hispanic, % non-Hispanic white, % non-Hispanic black, and % non-Hispanic Asian) linked to the census tract IDs</w:t>
      </w:r>
      <w:r w:rsidRPr="00586C92">
        <w:rPr>
          <w:i/>
        </w:rPr>
        <w:t>.</w:t>
      </w:r>
    </w:p>
    <w:p w14:paraId="3B27E007" w14:textId="77777777" w:rsidR="00B32C93" w:rsidRDefault="00B32C93" w:rsidP="00B32C93">
      <w:pPr>
        <w:pStyle w:val="Caption"/>
        <w:keepNext/>
      </w:pPr>
      <w:bookmarkStart w:id="3" w:name="_Ref356995741"/>
      <w:proofErr w:type="gramStart"/>
      <w:r>
        <w:t xml:space="preserve">Table </w:t>
      </w:r>
      <w:bookmarkEnd w:id="3"/>
      <w:r w:rsidR="00986534">
        <w:t>2</w:t>
      </w:r>
      <w:r>
        <w:t>.</w:t>
      </w:r>
      <w:proofErr w:type="gramEnd"/>
      <w:r>
        <w:t xml:space="preserve">  Counties included in MESA spatial weights matrices from each site.</w:t>
      </w:r>
    </w:p>
    <w:tbl>
      <w:tblPr>
        <w:tblStyle w:val="TableGrid"/>
        <w:tblW w:w="0" w:type="auto"/>
        <w:jc w:val="center"/>
        <w:tblLook w:val="04A0" w:firstRow="1" w:lastRow="0" w:firstColumn="1" w:lastColumn="0" w:noHBand="0" w:noVBand="1"/>
      </w:tblPr>
      <w:tblGrid>
        <w:gridCol w:w="2016"/>
        <w:gridCol w:w="5849"/>
        <w:gridCol w:w="1711"/>
      </w:tblGrid>
      <w:tr w:rsidR="00B32C93" w:rsidRPr="00A00C1A" w14:paraId="272654DD" w14:textId="77777777" w:rsidTr="00B32C93">
        <w:trPr>
          <w:jc w:val="center"/>
        </w:trPr>
        <w:tc>
          <w:tcPr>
            <w:tcW w:w="2093" w:type="dxa"/>
          </w:tcPr>
          <w:p w14:paraId="03CA4FC1" w14:textId="77777777" w:rsidR="00B32C93" w:rsidRPr="00A00C1A" w:rsidRDefault="00B32C93" w:rsidP="00AF77F1">
            <w:pPr>
              <w:rPr>
                <w:b/>
              </w:rPr>
            </w:pPr>
            <w:r w:rsidRPr="00A00C1A">
              <w:rPr>
                <w:b/>
              </w:rPr>
              <w:t>Site</w:t>
            </w:r>
          </w:p>
        </w:tc>
        <w:tc>
          <w:tcPr>
            <w:tcW w:w="6249" w:type="dxa"/>
          </w:tcPr>
          <w:p w14:paraId="03623F1D" w14:textId="77777777" w:rsidR="00B32C93" w:rsidRPr="00A00C1A" w:rsidRDefault="00B32C93" w:rsidP="00AF77F1">
            <w:pPr>
              <w:rPr>
                <w:b/>
              </w:rPr>
            </w:pPr>
            <w:r w:rsidRPr="00A00C1A">
              <w:rPr>
                <w:b/>
              </w:rPr>
              <w:t>County Names</w:t>
            </w:r>
          </w:p>
        </w:tc>
        <w:tc>
          <w:tcPr>
            <w:tcW w:w="1760" w:type="dxa"/>
          </w:tcPr>
          <w:p w14:paraId="6B1BDE26" w14:textId="77777777" w:rsidR="00B32C93" w:rsidRPr="00A00C1A" w:rsidRDefault="00B32C93" w:rsidP="00AF77F1">
            <w:pPr>
              <w:rPr>
                <w:b/>
              </w:rPr>
            </w:pPr>
            <w:r w:rsidRPr="00A00C1A">
              <w:rPr>
                <w:b/>
              </w:rPr>
              <w:t>UTM Projection</w:t>
            </w:r>
          </w:p>
        </w:tc>
      </w:tr>
      <w:tr w:rsidR="00B32C93" w14:paraId="2233F11D" w14:textId="77777777" w:rsidTr="00B32C93">
        <w:trPr>
          <w:jc w:val="center"/>
        </w:trPr>
        <w:tc>
          <w:tcPr>
            <w:tcW w:w="2093" w:type="dxa"/>
          </w:tcPr>
          <w:p w14:paraId="04925BE9" w14:textId="77777777" w:rsidR="00B32C93" w:rsidRDefault="00B32C93" w:rsidP="00AF77F1">
            <w:r>
              <w:t>Los Angeles, CA</w:t>
            </w:r>
          </w:p>
        </w:tc>
        <w:tc>
          <w:tcPr>
            <w:tcW w:w="6249" w:type="dxa"/>
          </w:tcPr>
          <w:p w14:paraId="7DDCA0E7" w14:textId="0C70168C" w:rsidR="00B32C93" w:rsidRDefault="00B32C93" w:rsidP="00AF77F1">
            <w:r>
              <w:t xml:space="preserve">Venture, Los Angeles, Orange, Riverside, and San </w:t>
            </w:r>
            <w:r w:rsidR="00CD21FD">
              <w:t>Bernardino</w:t>
            </w:r>
          </w:p>
        </w:tc>
        <w:tc>
          <w:tcPr>
            <w:tcW w:w="1760" w:type="dxa"/>
          </w:tcPr>
          <w:p w14:paraId="1415C504" w14:textId="77777777" w:rsidR="00B32C93" w:rsidRDefault="00B32C93" w:rsidP="00AF77F1">
            <w:r>
              <w:t>Zone 11</w:t>
            </w:r>
          </w:p>
        </w:tc>
      </w:tr>
      <w:tr w:rsidR="00B32C93" w14:paraId="108E9E78" w14:textId="77777777" w:rsidTr="00B32C93">
        <w:trPr>
          <w:jc w:val="center"/>
        </w:trPr>
        <w:tc>
          <w:tcPr>
            <w:tcW w:w="2093" w:type="dxa"/>
          </w:tcPr>
          <w:p w14:paraId="3DB5A407" w14:textId="77777777" w:rsidR="00B32C93" w:rsidRDefault="00B32C93" w:rsidP="00AF77F1">
            <w:r>
              <w:t>St Paul, MN</w:t>
            </w:r>
          </w:p>
        </w:tc>
        <w:tc>
          <w:tcPr>
            <w:tcW w:w="6249" w:type="dxa"/>
          </w:tcPr>
          <w:p w14:paraId="7C6266BF" w14:textId="77777777" w:rsidR="00B32C93" w:rsidRDefault="00B32C93" w:rsidP="00AF77F1">
            <w:r>
              <w:t>Anoka, Hennepin, Ramsey, Washington, Carver, Scott, and Dakota</w:t>
            </w:r>
          </w:p>
        </w:tc>
        <w:tc>
          <w:tcPr>
            <w:tcW w:w="1760" w:type="dxa"/>
          </w:tcPr>
          <w:p w14:paraId="660CB528" w14:textId="77777777" w:rsidR="00B32C93" w:rsidRDefault="00B32C93" w:rsidP="00AF77F1">
            <w:r>
              <w:t>Zone 15</w:t>
            </w:r>
          </w:p>
        </w:tc>
      </w:tr>
      <w:tr w:rsidR="00B32C93" w14:paraId="0A8DF35A" w14:textId="77777777" w:rsidTr="00B32C93">
        <w:trPr>
          <w:jc w:val="center"/>
        </w:trPr>
        <w:tc>
          <w:tcPr>
            <w:tcW w:w="2093" w:type="dxa"/>
          </w:tcPr>
          <w:p w14:paraId="4A621A64" w14:textId="77777777" w:rsidR="00B32C93" w:rsidRDefault="00B32C93" w:rsidP="00AF77F1">
            <w:r>
              <w:t>Chicago, IL</w:t>
            </w:r>
          </w:p>
        </w:tc>
        <w:tc>
          <w:tcPr>
            <w:tcW w:w="6249" w:type="dxa"/>
          </w:tcPr>
          <w:p w14:paraId="309B3C08" w14:textId="77777777" w:rsidR="00B32C93" w:rsidRDefault="00B32C93" w:rsidP="00AF77F1">
            <w:r>
              <w:t xml:space="preserve">Kane, </w:t>
            </w:r>
            <w:proofErr w:type="spellStart"/>
            <w:r>
              <w:t>DuPage</w:t>
            </w:r>
            <w:proofErr w:type="spellEnd"/>
            <w:r>
              <w:t>, Cook, and Will</w:t>
            </w:r>
          </w:p>
        </w:tc>
        <w:tc>
          <w:tcPr>
            <w:tcW w:w="1760" w:type="dxa"/>
          </w:tcPr>
          <w:p w14:paraId="4E5AC03E" w14:textId="77777777" w:rsidR="00B32C93" w:rsidRDefault="00B32C93" w:rsidP="00AF77F1">
            <w:r>
              <w:t>Zone 16</w:t>
            </w:r>
          </w:p>
        </w:tc>
      </w:tr>
      <w:tr w:rsidR="00B32C93" w14:paraId="74D5826C" w14:textId="77777777" w:rsidTr="00B32C93">
        <w:trPr>
          <w:jc w:val="center"/>
        </w:trPr>
        <w:tc>
          <w:tcPr>
            <w:tcW w:w="2093" w:type="dxa"/>
          </w:tcPr>
          <w:p w14:paraId="02BD7B99" w14:textId="77777777" w:rsidR="00B32C93" w:rsidRDefault="00B32C93" w:rsidP="00AF77F1">
            <w:r>
              <w:t>Winston-Salem, NC</w:t>
            </w:r>
          </w:p>
        </w:tc>
        <w:tc>
          <w:tcPr>
            <w:tcW w:w="6249" w:type="dxa"/>
          </w:tcPr>
          <w:p w14:paraId="3A3B3D07" w14:textId="77777777" w:rsidR="00B32C93" w:rsidRDefault="00B32C93" w:rsidP="00AF77F1">
            <w:r>
              <w:t>Forsyth</w:t>
            </w:r>
          </w:p>
        </w:tc>
        <w:tc>
          <w:tcPr>
            <w:tcW w:w="1760" w:type="dxa"/>
          </w:tcPr>
          <w:p w14:paraId="0DA101FA" w14:textId="77777777" w:rsidR="00B32C93" w:rsidRDefault="00B32C93" w:rsidP="00AF77F1">
            <w:r>
              <w:t>Zone 17</w:t>
            </w:r>
          </w:p>
        </w:tc>
      </w:tr>
      <w:tr w:rsidR="00B32C93" w14:paraId="5B0712A6" w14:textId="77777777" w:rsidTr="00B32C93">
        <w:trPr>
          <w:jc w:val="center"/>
        </w:trPr>
        <w:tc>
          <w:tcPr>
            <w:tcW w:w="2093" w:type="dxa"/>
          </w:tcPr>
          <w:p w14:paraId="3DF968B0" w14:textId="77777777" w:rsidR="00B32C93" w:rsidRDefault="00B32C93" w:rsidP="00AF77F1">
            <w:r>
              <w:t>Baltimore, MD</w:t>
            </w:r>
          </w:p>
        </w:tc>
        <w:tc>
          <w:tcPr>
            <w:tcW w:w="6249" w:type="dxa"/>
          </w:tcPr>
          <w:p w14:paraId="243200BB" w14:textId="77777777" w:rsidR="00B32C93" w:rsidRDefault="00B32C93" w:rsidP="00AF77F1">
            <w:r>
              <w:t>Baltimore City and Baltimore County</w:t>
            </w:r>
          </w:p>
        </w:tc>
        <w:tc>
          <w:tcPr>
            <w:tcW w:w="1760" w:type="dxa"/>
          </w:tcPr>
          <w:p w14:paraId="2D52C2C7" w14:textId="77777777" w:rsidR="00B32C93" w:rsidRDefault="00B32C93" w:rsidP="00AF77F1">
            <w:r>
              <w:t>Zone 18</w:t>
            </w:r>
          </w:p>
        </w:tc>
      </w:tr>
      <w:tr w:rsidR="00B32C93" w14:paraId="1B676285" w14:textId="77777777" w:rsidTr="00B32C93">
        <w:trPr>
          <w:jc w:val="center"/>
        </w:trPr>
        <w:tc>
          <w:tcPr>
            <w:tcW w:w="2093" w:type="dxa"/>
          </w:tcPr>
          <w:p w14:paraId="396359A6" w14:textId="77777777" w:rsidR="00B32C93" w:rsidRDefault="00B32C93" w:rsidP="00AF77F1">
            <w:r>
              <w:t>New York, NY</w:t>
            </w:r>
          </w:p>
        </w:tc>
        <w:tc>
          <w:tcPr>
            <w:tcW w:w="6249" w:type="dxa"/>
          </w:tcPr>
          <w:p w14:paraId="33730BFF" w14:textId="77777777" w:rsidR="00B32C93" w:rsidRDefault="00B32C93" w:rsidP="00AF77F1">
            <w:r>
              <w:t>Queens, Kings, New York, and Bronx</w:t>
            </w:r>
          </w:p>
        </w:tc>
        <w:tc>
          <w:tcPr>
            <w:tcW w:w="1760" w:type="dxa"/>
          </w:tcPr>
          <w:p w14:paraId="5FA0158B" w14:textId="77777777" w:rsidR="00B32C93" w:rsidRDefault="00B32C93" w:rsidP="00AF77F1">
            <w:r>
              <w:t>Zone 18</w:t>
            </w:r>
          </w:p>
        </w:tc>
      </w:tr>
    </w:tbl>
    <w:p w14:paraId="683B46CE" w14:textId="77777777" w:rsidR="00B32C93" w:rsidRDefault="00B32C93" w:rsidP="00B32C93"/>
    <w:p w14:paraId="45183968" w14:textId="77777777" w:rsidR="00B32C93" w:rsidRDefault="00A30F5E" w:rsidP="00B32C93">
      <w:r>
        <w:rPr>
          <w:noProof/>
        </w:rPr>
        <w:drawing>
          <wp:anchor distT="0" distB="0" distL="114300" distR="114300" simplePos="0" relativeHeight="251662336" behindDoc="0" locked="0" layoutInCell="1" allowOverlap="1" wp14:anchorId="08EC5AD5" wp14:editId="6E655F9D">
            <wp:simplePos x="0" y="0"/>
            <wp:positionH relativeFrom="margin">
              <wp:posOffset>4330700</wp:posOffset>
            </wp:positionH>
            <wp:positionV relativeFrom="paragraph">
              <wp:posOffset>702945</wp:posOffset>
            </wp:positionV>
            <wp:extent cx="1828800" cy="1395730"/>
            <wp:effectExtent l="19050" t="19050" r="0" b="0"/>
            <wp:wrapSquare wrapText="bothSides"/>
            <wp:docPr id="4" name="Picture 4" descr="C:\Users\pbkaiser\Desktop\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kaiser\Desktop\n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3957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32C93">
        <w:t xml:space="preserve">Spatial weights matrices were calculated for each site separately.  UTM projections were used to ensure that Euclidean distances are measured accurately.  </w:t>
      </w:r>
      <w:r w:rsidR="00B32C93" w:rsidRPr="0046696C">
        <w:t>All spatial weights matrices were calculated with row-standardized weights.</w:t>
      </w:r>
    </w:p>
    <w:p w14:paraId="4D5F2C30" w14:textId="63CF4509" w:rsidR="008708EF" w:rsidRDefault="00CD21FD" w:rsidP="008708EF">
      <w:r>
        <w:rPr>
          <w:noProof/>
        </w:rPr>
        <mc:AlternateContent>
          <mc:Choice Requires="wps">
            <w:drawing>
              <wp:anchor distT="0" distB="0" distL="114300" distR="114300" simplePos="0" relativeHeight="251663360" behindDoc="0" locked="0" layoutInCell="1" allowOverlap="1" wp14:anchorId="5FB1CC2D" wp14:editId="1AB318E8">
                <wp:simplePos x="0" y="0"/>
                <wp:positionH relativeFrom="column">
                  <wp:posOffset>4326255</wp:posOffset>
                </wp:positionH>
                <wp:positionV relativeFrom="paragraph">
                  <wp:posOffset>1408430</wp:posOffset>
                </wp:positionV>
                <wp:extent cx="1828800" cy="63881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38810"/>
                        </a:xfrm>
                        <a:prstGeom prst="rect">
                          <a:avLst/>
                        </a:prstGeom>
                        <a:solidFill>
                          <a:prstClr val="white"/>
                        </a:solidFill>
                        <a:ln>
                          <a:noFill/>
                        </a:ln>
                        <a:effectLst/>
                      </wps:spPr>
                      <wps:txbx>
                        <w:txbxContent>
                          <w:p w14:paraId="456E1977" w14:textId="77777777" w:rsidR="008708EF" w:rsidRPr="00B12E9F" w:rsidRDefault="008708EF" w:rsidP="008708EF">
                            <w:pPr>
                              <w:pStyle w:val="Caption"/>
                              <w:rPr>
                                <w:noProof/>
                              </w:rPr>
                            </w:pPr>
                            <w:proofErr w:type="gramStart"/>
                            <w:r>
                              <w:t xml:space="preserve">Figure </w:t>
                            </w:r>
                            <w:r w:rsidR="00986534">
                              <w:t>3</w:t>
                            </w:r>
                            <w:r>
                              <w:t>.</w:t>
                            </w:r>
                            <w:proofErr w:type="gramEnd"/>
                            <w:r>
                              <w:t xml:space="preserve"> North Carolina input tracts, with ‘edge’ tracts in darker blue.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40.65pt;margin-top:110.9pt;width:2in;height: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" stroked="f">
                <v:path arrowok="t"/>
                <v:textbox style="mso-fit-shape-to-text:t" inset="0,0,0,0">
                  <w:txbxContent>
                    <w:p w14:paraId="456E1977" w14:textId="77777777" w:rsidR="008708EF" w:rsidRPr="00B12E9F" w:rsidRDefault="008708EF" w:rsidP="008708EF">
                      <w:pPr>
                        <w:pStyle w:val="Caption"/>
                        <w:rPr>
                          <w:noProof/>
                        </w:rPr>
                      </w:pPr>
                      <w:proofErr w:type="gramStart"/>
                      <w:r>
                        <w:t xml:space="preserve">Figure </w:t>
                      </w:r>
                      <w:r w:rsidR="00986534">
                        <w:t>3</w:t>
                      </w:r>
                      <w:r>
                        <w:t>.</w:t>
                      </w:r>
                      <w:proofErr w:type="gramEnd"/>
                      <w:r>
                        <w:t xml:space="preserve"> North Carolina input tracts, with ‘edge’ tracts in darker blue.</w:t>
                      </w:r>
                    </w:p>
                  </w:txbxContent>
                </v:textbox>
                <w10:wrap type="square"/>
              </v:shape>
            </w:pict>
          </mc:Fallback>
        </mc:AlternateContent>
      </w:r>
      <w:r w:rsidR="008708EF">
        <w:t xml:space="preserve">The Spatial Weight Matrices (SWMs) created for use with MESA data are limited to include only census tracts in the counties surrounding the MESA site.  Thus, for tracts on the ‘edge’ of the input counties, some neighboring tracts (e.g. the tracts outside the defined input area) are not considered in the calculation of numbers of neighbors or for spatially weighted statistics such as </w:t>
      </w:r>
      <w:proofErr w:type="spellStart"/>
      <w:r w:rsidR="008708EF">
        <w:t>G</w:t>
      </w:r>
      <w:r w:rsidR="008708EF" w:rsidRPr="008708EF">
        <w:rPr>
          <w:vertAlign w:val="subscript"/>
        </w:rPr>
        <w:t>i</w:t>
      </w:r>
      <w:proofErr w:type="spellEnd"/>
      <w:r w:rsidR="008708EF">
        <w:t xml:space="preserve">* statistics. This means that the number of neighbors and the </w:t>
      </w:r>
      <w:proofErr w:type="spellStart"/>
      <w:r w:rsidR="008708EF">
        <w:t>G</w:t>
      </w:r>
      <w:r w:rsidR="008708EF" w:rsidRPr="008708EF">
        <w:rPr>
          <w:vertAlign w:val="subscript"/>
        </w:rPr>
        <w:t>i</w:t>
      </w:r>
      <w:proofErr w:type="spellEnd"/>
      <w:r w:rsidR="008708EF">
        <w:t>* statistics provided are not fully reflective of reality, and may introduce bias in analyses.  These tracts have been identified in order to allow analysts to explore the impact that these boundary tracts may have on analyses. Overall, 2.43% of all input census tracts are edge tracts.  The highest percentage is in North Carolina (29.33% of tracts) and the lowest in California (0.86%).</w:t>
      </w:r>
    </w:p>
    <w:p w14:paraId="42FA77AC" w14:textId="503DA58D" w:rsidR="00120DAF" w:rsidRDefault="00120DAF" w:rsidP="005D54B5">
      <w:pPr>
        <w:pStyle w:val="Heading2"/>
      </w:pPr>
      <w:r>
        <w:t xml:space="preserve">Calculating </w:t>
      </w:r>
      <w:proofErr w:type="spellStart"/>
      <w:r>
        <w:t>G</w:t>
      </w:r>
      <w:r w:rsidR="00B4321C" w:rsidRPr="00B4321C">
        <w:rPr>
          <w:vertAlign w:val="subscript"/>
        </w:rPr>
        <w:t>i</w:t>
      </w:r>
      <w:proofErr w:type="spellEnd"/>
      <w:r w:rsidR="00B4321C">
        <w:t>*</w:t>
      </w:r>
      <w:r>
        <w:t xml:space="preserve"> </w:t>
      </w:r>
      <w:r w:rsidR="00A30F5E">
        <w:t>S</w:t>
      </w:r>
      <w:r>
        <w:t>tatistics: Hot-Spot Analysis Tool</w:t>
      </w:r>
    </w:p>
    <w:p w14:paraId="1DCDCF30" w14:textId="77777777" w:rsidR="004E409A" w:rsidRDefault="004E409A" w:rsidP="003A3BF5">
      <w:proofErr w:type="spellStart"/>
      <w:r>
        <w:t>G</w:t>
      </w:r>
      <w:r w:rsidRPr="00127188">
        <w:rPr>
          <w:vertAlign w:val="subscript"/>
        </w:rPr>
        <w:t>i</w:t>
      </w:r>
      <w:proofErr w:type="spellEnd"/>
      <w:r>
        <w:t xml:space="preserve">* statistics were calculated based on racial composition measures for Census 2000, American Community Survey 2005-2009 (ACS0509), and American Community Survey 2007-2011 (ACS0711).  All of these measures are calculated based on Census2000 boundaries.  Census2000 and ACS0509 use </w:t>
      </w:r>
      <w:r>
        <w:lastRenderedPageBreak/>
        <w:t>Census2000 boundaries in sampling.  ACS0711 uses Census2010 boundaries in sampling so a crosswalk</w:t>
      </w:r>
      <w:r>
        <w:rPr>
          <w:rStyle w:val="FootnoteReference"/>
        </w:rPr>
        <w:footnoteReference w:id="3"/>
      </w:r>
      <w:r>
        <w:t xml:space="preserve"> was used to convert these measures to Census2000 boundaries.</w:t>
      </w:r>
    </w:p>
    <w:p w14:paraId="7B9225C6" w14:textId="77777777" w:rsidR="00F62570" w:rsidRDefault="00120DAF" w:rsidP="003A3BF5">
      <w:pPr>
        <w:rPr>
          <w:rStyle w:val="SubtleEmphasis"/>
          <w:i w:val="0"/>
          <w:color w:val="auto"/>
        </w:rPr>
      </w:pPr>
      <w:r>
        <w:t xml:space="preserve">The Hot Spot Analysis tool in ArcGIS 10.1 was used to calculate the </w:t>
      </w:r>
      <w:proofErr w:type="spellStart"/>
      <w:r>
        <w:t>G</w:t>
      </w:r>
      <w:r w:rsidRPr="00127188">
        <w:rPr>
          <w:vertAlign w:val="subscript"/>
        </w:rPr>
        <w:t>i</w:t>
      </w:r>
      <w:proofErr w:type="spellEnd"/>
      <w:r>
        <w:t xml:space="preserve">* statistics.  For each site, an input </w:t>
      </w:r>
      <w:proofErr w:type="spellStart"/>
      <w:r>
        <w:t>shapefile</w:t>
      </w:r>
      <w:proofErr w:type="spellEnd"/>
      <w:r>
        <w:t xml:space="preserve"> was created with the selected census tracts (see documentation on creating SWMs for more details on the selection of tracts for each site) joined with a data table of racial composition from Census 2000</w:t>
      </w:r>
      <w:r w:rsidR="005B7898">
        <w:t>, ACS0509, or ACS0711</w:t>
      </w:r>
      <w:r>
        <w:t xml:space="preserve">.  Four sets of </w:t>
      </w:r>
      <w:proofErr w:type="spellStart"/>
      <w:r>
        <w:t>G</w:t>
      </w:r>
      <w:r w:rsidRPr="003A3BF5">
        <w:rPr>
          <w:vertAlign w:val="subscript"/>
        </w:rPr>
        <w:t>i</w:t>
      </w:r>
      <w:proofErr w:type="spellEnd"/>
      <w:r>
        <w:t>* statistics were calculated for each Census Tract</w:t>
      </w:r>
      <w:r w:rsidR="00233DC0">
        <w:t xml:space="preserve"> per year</w:t>
      </w:r>
      <w:r>
        <w:t>, one each for the four methods of “</w:t>
      </w:r>
      <w:r w:rsidRPr="00910F8B">
        <w:t>Conceptualization of Spatial Relationships</w:t>
      </w:r>
      <w:r>
        <w:t xml:space="preserve">” (e.g. neighbor definitions, quantified by spatial weights matrices [SWM files]) calculated for MESA (rook, 1-mile, 2-mile, and 1-mile inverse).  For each conceptualization of spatial relationships, </w:t>
      </w:r>
      <w:proofErr w:type="spellStart"/>
      <w:r>
        <w:t>G</w:t>
      </w:r>
      <w:r w:rsidRPr="005C2C11">
        <w:rPr>
          <w:vertAlign w:val="subscript"/>
        </w:rPr>
        <w:t>i</w:t>
      </w:r>
      <w:proofErr w:type="spellEnd"/>
      <w:r>
        <w:t xml:space="preserve">* statistics were calculated for % Black, % Asian, % Hispanic, and % White.  Thus, 16 </w:t>
      </w:r>
      <w:proofErr w:type="spellStart"/>
      <w:r>
        <w:t>G</w:t>
      </w:r>
      <w:r w:rsidRPr="005C2C11">
        <w:rPr>
          <w:vertAlign w:val="subscript"/>
        </w:rPr>
        <w:t>i</w:t>
      </w:r>
      <w:proofErr w:type="spellEnd"/>
      <w:r>
        <w:t>* statistics have been calculated for each Census Tract</w:t>
      </w:r>
      <w:r w:rsidR="005B16C9">
        <w:t xml:space="preserve"> per year</w:t>
      </w:r>
      <w:r>
        <w:t xml:space="preserve">.  </w:t>
      </w:r>
      <w:r w:rsidR="005F651A">
        <w:t xml:space="preserve">An indicator for census tracts that fall on the edge of the counties included in the SWM was </w:t>
      </w:r>
      <w:r w:rsidR="003A3BF5">
        <w:t>merged with the final datasets.</w:t>
      </w:r>
    </w:p>
    <w:p w14:paraId="30C005C1" w14:textId="77777777" w:rsidR="00120DAF" w:rsidRDefault="00120DAF" w:rsidP="003A3BF5">
      <w:r>
        <w:t xml:space="preserve">The default conceptualization of spatial relationships for Hot Spot Analysis in ArcGIS is fixed distance (e.g. the 1-mile or 2-mile SWMs calculated for MESA).  A contiguity (rook) conceptualization is also appropriate.  Using an inverse distance relationship can be problematic with distances less than one between units; this is unlikely with the MESA data (the </w:t>
      </w:r>
      <w:proofErr w:type="spellStart"/>
      <w:r>
        <w:t>shapefiles</w:t>
      </w:r>
      <w:proofErr w:type="spellEnd"/>
      <w:r>
        <w:t xml:space="preserve"> are projected to UTM zones with units in feet), but offers no clear benefit over another SWM.</w:t>
      </w:r>
      <w:r>
        <w:rPr>
          <w:rStyle w:val="FootnoteReference"/>
        </w:rPr>
        <w:footnoteReference w:id="4"/>
      </w:r>
    </w:p>
    <w:p w14:paraId="51A99B72" w14:textId="77777777" w:rsidR="009C54C6" w:rsidRDefault="00120DAF">
      <w:r>
        <w:t xml:space="preserve">Tracts with no neighbors have a </w:t>
      </w:r>
      <w:proofErr w:type="spellStart"/>
      <w:r>
        <w:t>G</w:t>
      </w:r>
      <w:r w:rsidRPr="00127188">
        <w:rPr>
          <w:vertAlign w:val="subscript"/>
        </w:rPr>
        <w:t>i</w:t>
      </w:r>
      <w:proofErr w:type="spellEnd"/>
      <w:r>
        <w:t>* value, but this value is just the index value divided by the global average – there is no spatial adjustment or influence from neighboring tracts.  Therefore it may be appropriate to remove tracts with no neighbors from the analysis.</w:t>
      </w:r>
      <w:r w:rsidR="009F1147">
        <w:t xml:space="preserve">  </w:t>
      </w:r>
      <w:proofErr w:type="spellStart"/>
      <w:r w:rsidRPr="00127188">
        <w:t>Getis</w:t>
      </w:r>
      <w:proofErr w:type="spellEnd"/>
      <w:r w:rsidRPr="00127188">
        <w:t xml:space="preserve"> &amp; </w:t>
      </w:r>
      <w:proofErr w:type="spellStart"/>
      <w:r w:rsidRPr="00127188">
        <w:t>Ord</w:t>
      </w:r>
      <w:proofErr w:type="spellEnd"/>
      <w:r w:rsidRPr="00127188">
        <w:t xml:space="preserve"> recommended that each unit should have at least 8 neighbors to ensure the stability of the G statistics; ArcGIS adopts this recommendation as well.</w:t>
      </w:r>
      <w:r w:rsidRPr="00127188">
        <w:rPr>
          <w:rStyle w:val="FootnoteReference"/>
        </w:rPr>
        <w:footnoteReference w:id="5"/>
      </w:r>
      <w:r>
        <w:t xml:space="preserve"> </w:t>
      </w:r>
      <w:r w:rsidR="00D8599C">
        <w:t xml:space="preserve"> We did not limit the calculation of the </w:t>
      </w:r>
      <w:proofErr w:type="spellStart"/>
      <w:r w:rsidR="00D8599C">
        <w:t>G</w:t>
      </w:r>
      <w:r w:rsidR="00D8599C">
        <w:rPr>
          <w:vertAlign w:val="subscript"/>
        </w:rPr>
        <w:t>i</w:t>
      </w:r>
      <w:proofErr w:type="spellEnd"/>
      <w:r w:rsidR="00D8599C">
        <w:t xml:space="preserve">* statistics by the number of neighbors; however, the number of neighbors (using each SWM) is available in the dataset if you would like to constrain the tracts used in your analysis. </w:t>
      </w:r>
    </w:p>
    <w:p w14:paraId="72BD588D" w14:textId="223118D8" w:rsidR="00B32C93" w:rsidRDefault="00B32C93" w:rsidP="005D54B5">
      <w:pPr>
        <w:pStyle w:val="Heading2"/>
      </w:pPr>
      <w:r w:rsidRPr="001B3814">
        <w:t xml:space="preserve">Which SWM </w:t>
      </w:r>
      <w:r w:rsidR="00A30F5E">
        <w:t>S</w:t>
      </w:r>
      <w:r w:rsidRPr="001B3814">
        <w:t xml:space="preserve">hould I </w:t>
      </w:r>
      <w:r w:rsidR="00A30F5E">
        <w:t>U</w:t>
      </w:r>
      <w:r w:rsidRPr="001B3814">
        <w:t>se?</w:t>
      </w:r>
    </w:p>
    <w:p w14:paraId="64FB07E4" w14:textId="77777777" w:rsidR="00B32C93" w:rsidRDefault="00B32C93" w:rsidP="00B32C93">
      <w:r>
        <w:t>It depends!  A good place to start is with the rook (contiguity edges only) definition, because all tracts will have at least one neighbor, and because the number of neighbors is most consistent across sites (compared to the other SWMs).  However, where census tracts are small, the area covered by an index tract and its first order rook neighbors will be relatively small; where census tracts are large, the area covered by an index tract and its first order rook neighbors will be much larger.</w:t>
      </w:r>
    </w:p>
    <w:p w14:paraId="0D6A9A9C" w14:textId="77777777" w:rsidR="00B32C93" w:rsidRDefault="00B32C93" w:rsidP="00B32C93">
      <w:r>
        <w:lastRenderedPageBreak/>
        <w:t>With the threshold distance SWMs (either fixed or inverse), the variability between MESA sites – a one mile radius in New York may be very meaningful for social interactions or food availability, while one mile radius in North Carolina may not be very meaningful.</w:t>
      </w:r>
    </w:p>
    <w:p w14:paraId="4DBA11E9" w14:textId="77777777" w:rsidR="00B32C93" w:rsidRDefault="00B32C93" w:rsidP="00B32C93">
      <w:r>
        <w:t xml:space="preserve">For additional discussion on using spatial weights matrices, see </w:t>
      </w:r>
      <w:proofErr w:type="spellStart"/>
      <w:r>
        <w:t>Getis</w:t>
      </w:r>
      <w:proofErr w:type="spellEnd"/>
      <w:r>
        <w:t xml:space="preserve"> and </w:t>
      </w:r>
      <w:proofErr w:type="spellStart"/>
      <w:r>
        <w:t>Aldstadt</w:t>
      </w:r>
      <w:proofErr w:type="spellEnd"/>
      <w:r>
        <w:t>.</w:t>
      </w:r>
      <w:r>
        <w:rPr>
          <w:rStyle w:val="FootnoteReference"/>
        </w:rPr>
        <w:footnoteReference w:id="6"/>
      </w:r>
    </w:p>
    <w:p w14:paraId="764DFD2B" w14:textId="77777777" w:rsidR="00B32C93" w:rsidRDefault="00B32C93" w:rsidP="00B32C93">
      <w:r>
        <w:t xml:space="preserve">Spatial </w:t>
      </w:r>
      <w:proofErr w:type="spellStart"/>
      <w:r>
        <w:t>variograms</w:t>
      </w:r>
      <w:proofErr w:type="spellEnd"/>
      <w:r>
        <w:t xml:space="preserve"> (or semi-</w:t>
      </w:r>
      <w:proofErr w:type="spellStart"/>
      <w:r>
        <w:t>variograms</w:t>
      </w:r>
      <w:proofErr w:type="spellEnd"/>
      <w:r>
        <w:t>) are a way to plot the similarity between observations by the distance between those observations; it can help to define the range of the spatial influence in the data.  It may also be helpful to do sensitivity analyses using different SWMs and comparing the results.</w:t>
      </w:r>
    </w:p>
    <w:p w14:paraId="28F65F8C" w14:textId="77777777" w:rsidR="00B32C93" w:rsidRPr="00A81C87" w:rsidRDefault="00B32C93"/>
    <w:sectPr w:rsidR="00B32C93" w:rsidRPr="00A81C87" w:rsidSect="00550E7D">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907FB2" w15:done="0"/>
  <w15:commentEx w15:paraId="1D7F9413" w15:done="0"/>
  <w15:commentEx w15:paraId="426070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4B3FB" w14:textId="77777777" w:rsidR="009F1147" w:rsidRDefault="009F1147" w:rsidP="00CF029D">
      <w:pPr>
        <w:spacing w:after="0" w:line="240" w:lineRule="auto"/>
      </w:pPr>
      <w:r>
        <w:separator/>
      </w:r>
    </w:p>
  </w:endnote>
  <w:endnote w:type="continuationSeparator" w:id="0">
    <w:p w14:paraId="768E7CE1" w14:textId="77777777" w:rsidR="009F1147" w:rsidRDefault="009F1147" w:rsidP="00C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 Monospace">
    <w:panose1 w:val="020B060902020202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58652"/>
      <w:docPartObj>
        <w:docPartGallery w:val="Page Numbers (Bottom of Page)"/>
        <w:docPartUnique/>
      </w:docPartObj>
    </w:sdtPr>
    <w:sdtEndPr>
      <w:rPr>
        <w:noProof/>
      </w:rPr>
    </w:sdtEndPr>
    <w:sdtContent>
      <w:p w14:paraId="3579C967" w14:textId="19305822" w:rsidR="00FE7E3C" w:rsidRDefault="00FE7E3C">
        <w:pPr>
          <w:pStyle w:val="Footer"/>
          <w:jc w:val="right"/>
        </w:pPr>
        <w:r>
          <w:fldChar w:fldCharType="begin"/>
        </w:r>
        <w:r>
          <w:instrText xml:space="preserve"> PAGE   \* MERGEFORMAT </w:instrText>
        </w:r>
        <w:r>
          <w:fldChar w:fldCharType="separate"/>
        </w:r>
        <w:r w:rsidR="00E41538">
          <w:rPr>
            <w:noProof/>
          </w:rPr>
          <w:t>1</w:t>
        </w:r>
        <w:r>
          <w:rPr>
            <w:noProof/>
          </w:rPr>
          <w:fldChar w:fldCharType="end"/>
        </w:r>
      </w:p>
    </w:sdtContent>
  </w:sdt>
  <w:p w14:paraId="1C304498" w14:textId="77777777" w:rsidR="009F1147" w:rsidRDefault="009F1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B921" w14:textId="77777777" w:rsidR="009F1147" w:rsidRDefault="009F1147" w:rsidP="00CF029D">
      <w:pPr>
        <w:spacing w:after="0" w:line="240" w:lineRule="auto"/>
      </w:pPr>
      <w:r>
        <w:separator/>
      </w:r>
    </w:p>
  </w:footnote>
  <w:footnote w:type="continuationSeparator" w:id="0">
    <w:p w14:paraId="0175DE31" w14:textId="77777777" w:rsidR="009F1147" w:rsidRDefault="009F1147" w:rsidP="00CF029D">
      <w:pPr>
        <w:spacing w:after="0" w:line="240" w:lineRule="auto"/>
      </w:pPr>
      <w:r>
        <w:continuationSeparator/>
      </w:r>
    </w:p>
  </w:footnote>
  <w:footnote w:id="1">
    <w:p w14:paraId="0F33E8BD" w14:textId="77777777" w:rsidR="009F1147" w:rsidRDefault="009F1147">
      <w:pPr>
        <w:pStyle w:val="FootnoteText"/>
      </w:pPr>
      <w:r>
        <w:rPr>
          <w:rStyle w:val="FootnoteReference"/>
        </w:rPr>
        <w:footnoteRef/>
      </w:r>
      <w:r>
        <w:t xml:space="preserve"> </w:t>
      </w:r>
      <w:proofErr w:type="spellStart"/>
      <w:proofErr w:type="gramStart"/>
      <w:r>
        <w:rPr>
          <w:rFonts w:ascii="Arial" w:hAnsi="Arial" w:cs="Arial"/>
          <w:color w:val="222222"/>
          <w:sz w:val="18"/>
          <w:szCs w:val="18"/>
          <w:shd w:val="clear" w:color="auto" w:fill="FFFFFF"/>
        </w:rPr>
        <w:t>Getis</w:t>
      </w:r>
      <w:proofErr w:type="spellEnd"/>
      <w:r>
        <w:rPr>
          <w:rFonts w:ascii="Arial" w:hAnsi="Arial" w:cs="Arial"/>
          <w:color w:val="222222"/>
          <w:sz w:val="18"/>
          <w:szCs w:val="18"/>
          <w:shd w:val="clear" w:color="auto" w:fill="FFFFFF"/>
        </w:rPr>
        <w:t xml:space="preserve">, A., &amp; </w:t>
      </w:r>
      <w:proofErr w:type="spellStart"/>
      <w:r>
        <w:rPr>
          <w:rFonts w:ascii="Arial" w:hAnsi="Arial" w:cs="Arial"/>
          <w:color w:val="222222"/>
          <w:sz w:val="18"/>
          <w:szCs w:val="18"/>
          <w:shd w:val="clear" w:color="auto" w:fill="FFFFFF"/>
        </w:rPr>
        <w:t>Ord</w:t>
      </w:r>
      <w:proofErr w:type="spellEnd"/>
      <w:r>
        <w:rPr>
          <w:rFonts w:ascii="Arial" w:hAnsi="Arial" w:cs="Arial"/>
          <w:color w:val="222222"/>
          <w:sz w:val="18"/>
          <w:szCs w:val="18"/>
          <w:shd w:val="clear" w:color="auto" w:fill="FFFFFF"/>
        </w:rPr>
        <w:t>, J. K. (1992).</w:t>
      </w:r>
      <w:proofErr w:type="gramEnd"/>
      <w:r>
        <w:rPr>
          <w:rFonts w:ascii="Arial" w:hAnsi="Arial" w:cs="Arial"/>
          <w:color w:val="222222"/>
          <w:sz w:val="18"/>
          <w:szCs w:val="18"/>
          <w:shd w:val="clear" w:color="auto" w:fill="FFFFFF"/>
        </w:rPr>
        <w:t xml:space="preserve"> </w:t>
      </w:r>
      <w:proofErr w:type="gramStart"/>
      <w:r>
        <w:rPr>
          <w:rFonts w:ascii="Arial" w:hAnsi="Arial" w:cs="Arial"/>
          <w:color w:val="222222"/>
          <w:sz w:val="18"/>
          <w:szCs w:val="18"/>
          <w:shd w:val="clear" w:color="auto" w:fill="FFFFFF"/>
        </w:rPr>
        <w:t>The analysis of spatial association by use of distance statistics.</w:t>
      </w:r>
      <w:proofErr w:type="gramEnd"/>
      <w:r>
        <w:rPr>
          <w:rStyle w:val="apple-converted-space"/>
          <w:rFonts w:ascii="Arial" w:hAnsi="Arial" w:cs="Arial"/>
          <w:color w:val="222222"/>
          <w:sz w:val="18"/>
          <w:szCs w:val="18"/>
          <w:shd w:val="clear" w:color="auto" w:fill="FFFFFF"/>
        </w:rPr>
        <w:t> </w:t>
      </w:r>
      <w:proofErr w:type="gramStart"/>
      <w:r>
        <w:rPr>
          <w:rFonts w:ascii="Arial" w:hAnsi="Arial" w:cs="Arial"/>
          <w:i/>
          <w:iCs/>
          <w:color w:val="222222"/>
          <w:sz w:val="18"/>
          <w:szCs w:val="18"/>
          <w:shd w:val="clear" w:color="auto" w:fill="FFFFFF"/>
        </w:rPr>
        <w:t>Geographical analysis</w:t>
      </w:r>
      <w:r>
        <w:rPr>
          <w:rFonts w:ascii="Arial" w:hAnsi="Arial" w:cs="Arial"/>
          <w:color w:val="222222"/>
          <w:sz w:val="18"/>
          <w:szCs w:val="18"/>
          <w:shd w:val="clear" w:color="auto" w:fill="FFFFFF"/>
        </w:rPr>
        <w:t>,</w:t>
      </w:r>
      <w:r>
        <w:rPr>
          <w:rStyle w:val="apple-converted-space"/>
          <w:rFonts w:ascii="Arial" w:hAnsi="Arial" w:cs="Arial"/>
          <w:color w:val="222222"/>
          <w:sz w:val="18"/>
          <w:szCs w:val="18"/>
          <w:shd w:val="clear" w:color="auto" w:fill="FFFFFF"/>
        </w:rPr>
        <w:t> </w:t>
      </w:r>
      <w:r>
        <w:rPr>
          <w:rFonts w:ascii="Arial" w:hAnsi="Arial" w:cs="Arial"/>
          <w:i/>
          <w:iCs/>
          <w:color w:val="222222"/>
          <w:sz w:val="18"/>
          <w:szCs w:val="18"/>
          <w:shd w:val="clear" w:color="auto" w:fill="FFFFFF"/>
        </w:rPr>
        <w:t>24</w:t>
      </w:r>
      <w:r>
        <w:rPr>
          <w:rFonts w:ascii="Arial" w:hAnsi="Arial" w:cs="Arial"/>
          <w:color w:val="222222"/>
          <w:sz w:val="18"/>
          <w:szCs w:val="18"/>
          <w:shd w:val="clear" w:color="auto" w:fill="FFFFFF"/>
        </w:rPr>
        <w:t>(3), 189-206.</w:t>
      </w:r>
      <w:proofErr w:type="gramEnd"/>
    </w:p>
  </w:footnote>
  <w:footnote w:id="2">
    <w:p w14:paraId="557450FB" w14:textId="77777777" w:rsidR="009F1147" w:rsidRDefault="009F1147">
      <w:pPr>
        <w:pStyle w:val="FootnoteText"/>
      </w:pPr>
      <w:r>
        <w:rPr>
          <w:rStyle w:val="FootnoteReference"/>
        </w:rPr>
        <w:footnoteRef/>
      </w:r>
      <w:r>
        <w:t xml:space="preserve"> </w:t>
      </w:r>
      <w:hyperlink r:id="rId1" w:history="1">
        <w:r>
          <w:rPr>
            <w:rStyle w:val="Hyperlink"/>
          </w:rPr>
          <w:t>http://www.sce.lsu.edu/cego/documents/reviews/geospatial/spatial_autocorrelation.pdf</w:t>
        </w:r>
      </w:hyperlink>
    </w:p>
  </w:footnote>
  <w:footnote w:id="3">
    <w:p w14:paraId="6A53A178" w14:textId="77777777" w:rsidR="009F1147" w:rsidRDefault="009F1147">
      <w:pPr>
        <w:pStyle w:val="FootnoteText"/>
      </w:pPr>
      <w:r>
        <w:rPr>
          <w:rStyle w:val="FootnoteReference"/>
        </w:rPr>
        <w:footnoteRef/>
      </w:r>
      <w:r>
        <w:t xml:space="preserve"> </w:t>
      </w:r>
      <w:proofErr w:type="gramStart"/>
      <w:r w:rsidRPr="00017AE3">
        <w:rPr>
          <w:rFonts w:cs="Times New Roman"/>
          <w:shd w:val="clear" w:color="auto" w:fill="FFFFFF"/>
        </w:rPr>
        <w:t xml:space="preserve">John R. Logan, </w:t>
      </w:r>
      <w:proofErr w:type="spellStart"/>
      <w:r w:rsidRPr="00017AE3">
        <w:rPr>
          <w:rFonts w:cs="Times New Roman"/>
          <w:shd w:val="clear" w:color="auto" w:fill="FFFFFF"/>
        </w:rPr>
        <w:t>Zengwang</w:t>
      </w:r>
      <w:proofErr w:type="spellEnd"/>
      <w:r w:rsidRPr="00017AE3">
        <w:rPr>
          <w:rFonts w:cs="Times New Roman"/>
          <w:shd w:val="clear" w:color="auto" w:fill="FFFFFF"/>
        </w:rPr>
        <w:t xml:space="preserve"> Xu, and Brian </w:t>
      </w:r>
      <w:proofErr w:type="spellStart"/>
      <w:r w:rsidRPr="00017AE3">
        <w:rPr>
          <w:rFonts w:cs="Times New Roman"/>
          <w:shd w:val="clear" w:color="auto" w:fill="FFFFFF"/>
        </w:rPr>
        <w:t>Stults</w:t>
      </w:r>
      <w:proofErr w:type="spellEnd"/>
      <w:r w:rsidRPr="00017AE3">
        <w:rPr>
          <w:rFonts w:cs="Times New Roman"/>
          <w:shd w:val="clear" w:color="auto" w:fill="FFFFFF"/>
        </w:rPr>
        <w:t>.</w:t>
      </w:r>
      <w:proofErr w:type="gramEnd"/>
      <w:r w:rsidRPr="00017AE3">
        <w:rPr>
          <w:rFonts w:cs="Times New Roman"/>
          <w:shd w:val="clear" w:color="auto" w:fill="FFFFFF"/>
        </w:rPr>
        <w:t xml:space="preserve"> 2012. “Interpolating US Decennial Census Tract Data from as Early as 1970 to 2010: A Longitudinal Tract Database” Professional Geographer, forthcoming</w:t>
      </w:r>
    </w:p>
  </w:footnote>
  <w:footnote w:id="4">
    <w:p w14:paraId="25667534" w14:textId="77777777" w:rsidR="009F1147" w:rsidRDefault="009F1147" w:rsidP="00127188">
      <w:pPr>
        <w:pStyle w:val="FootnoteText"/>
      </w:pPr>
      <w:r>
        <w:rPr>
          <w:rStyle w:val="FootnoteReference"/>
        </w:rPr>
        <w:footnoteRef/>
      </w:r>
      <w:r>
        <w:t xml:space="preserve"> See </w:t>
      </w:r>
      <w:hyperlink r:id="rId2" w:history="1">
        <w:r>
          <w:rPr>
            <w:rStyle w:val="Hyperlink"/>
          </w:rPr>
          <w:t>http://www.sce.lsu.edu/cego/documents/reviews/geospatial/spatial_autocorrelation.pdf</w:t>
        </w:r>
      </w:hyperlink>
      <w:r>
        <w:t xml:space="preserve"> and the ArcGIS Help 10.1 page about Hot Spot Analysis.</w:t>
      </w:r>
    </w:p>
  </w:footnote>
  <w:footnote w:id="5">
    <w:p w14:paraId="66AB01FD" w14:textId="77777777" w:rsidR="009F1147" w:rsidRDefault="009F1147" w:rsidP="002F4731">
      <w:pPr>
        <w:pStyle w:val="FootnoteText"/>
      </w:pPr>
      <w:r>
        <w:rPr>
          <w:rStyle w:val="FootnoteReference"/>
        </w:rPr>
        <w:footnoteRef/>
      </w:r>
      <w:r>
        <w:t xml:space="preserve"> </w:t>
      </w:r>
      <w:hyperlink r:id="rId3" w:history="1">
        <w:r w:rsidRPr="00683396">
          <w:rPr>
            <w:rStyle w:val="Hyperlink"/>
          </w:rPr>
          <w:t>http://resources.esri.com/help/9.3/arcgisengine/java/gp_toolref/spatial_statistics_tools/hot_spot_analysis_getis_ord_gi_star_spatial_statistics_.htm</w:t>
        </w:r>
      </w:hyperlink>
    </w:p>
  </w:footnote>
  <w:footnote w:id="6">
    <w:p w14:paraId="4978264B" w14:textId="77777777" w:rsidR="00B32C93" w:rsidRDefault="00B32C93" w:rsidP="00B32C93">
      <w:pPr>
        <w:pStyle w:val="FootnoteText"/>
      </w:pPr>
      <w:r>
        <w:rPr>
          <w:rStyle w:val="FootnoteReference"/>
        </w:rPr>
        <w:footnoteRef/>
      </w:r>
      <w:r>
        <w:t xml:space="preserve"> </w:t>
      </w:r>
      <w:proofErr w:type="spellStart"/>
      <w:proofErr w:type="gramStart"/>
      <w:r>
        <w:rPr>
          <w:rFonts w:ascii="Arial" w:hAnsi="Arial" w:cs="Arial"/>
          <w:color w:val="222222"/>
          <w:shd w:val="clear" w:color="auto" w:fill="FFFFFF"/>
        </w:rPr>
        <w:t>Getis</w:t>
      </w:r>
      <w:proofErr w:type="spellEnd"/>
      <w:r>
        <w:rPr>
          <w:rFonts w:ascii="Arial" w:hAnsi="Arial" w:cs="Arial"/>
          <w:color w:val="222222"/>
          <w:shd w:val="clear" w:color="auto" w:fill="FFFFFF"/>
        </w:rPr>
        <w:t xml:space="preserve">, Arthur, and Jared </w:t>
      </w:r>
      <w:proofErr w:type="spellStart"/>
      <w:r>
        <w:rPr>
          <w:rFonts w:ascii="Arial" w:hAnsi="Arial" w:cs="Arial"/>
          <w:color w:val="222222"/>
          <w:shd w:val="clear" w:color="auto" w:fill="FFFFFF"/>
        </w:rPr>
        <w:t>Aldstadt</w:t>
      </w:r>
      <w:proofErr w:type="spellEnd"/>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"Constructing the spatial weights matrix using a local statistic."</w:t>
      </w:r>
      <w:proofErr w:type="gramEnd"/>
      <w:r>
        <w:rPr>
          <w:rStyle w:val="apple-converted-space"/>
          <w:rFonts w:ascii="Arial" w:hAnsi="Arial" w:cs="Arial"/>
          <w:color w:val="222222"/>
          <w:shd w:val="clear" w:color="auto" w:fill="FFFFFF"/>
        </w:rPr>
        <w:t> </w:t>
      </w:r>
      <w:proofErr w:type="gramStart"/>
      <w:r>
        <w:rPr>
          <w:rFonts w:ascii="Arial" w:hAnsi="Arial" w:cs="Arial"/>
          <w:i/>
          <w:iCs/>
          <w:color w:val="222222"/>
          <w:shd w:val="clear" w:color="auto" w:fill="FFFFFF"/>
        </w:rPr>
        <w:t>Perspectives on Spatial Data Analysis</w:t>
      </w:r>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Springer Berlin Heidelberg, 2010.</w:t>
      </w:r>
      <w:proofErr w:type="gramEnd"/>
      <w:r>
        <w:rPr>
          <w:rFonts w:ascii="Arial" w:hAnsi="Arial" w:cs="Arial"/>
          <w:color w:val="222222"/>
          <w:shd w:val="clear" w:color="auto" w:fill="FFFFFF"/>
        </w:rPr>
        <w:t xml:space="preserve"> 147-163.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1358"/>
    <w:multiLevelType w:val="hybridMultilevel"/>
    <w:tmpl w:val="89B20294"/>
    <w:lvl w:ilvl="0" w:tplc="005C20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7076E"/>
    <w:multiLevelType w:val="hybridMultilevel"/>
    <w:tmpl w:val="37F8B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8D6DCA"/>
    <w:multiLevelType w:val="hybridMultilevel"/>
    <w:tmpl w:val="5038F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3639B"/>
    <w:multiLevelType w:val="hybridMultilevel"/>
    <w:tmpl w:val="7214E100"/>
    <w:lvl w:ilvl="0" w:tplc="9CFE2D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raro,Seraphina">
    <w15:presenceInfo w15:providerId="AD" w15:userId="S-1-5-21-683943941-1419459275-927750060-214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E4"/>
    <w:rsid w:val="000107B0"/>
    <w:rsid w:val="00017592"/>
    <w:rsid w:val="000207CF"/>
    <w:rsid w:val="00022BF5"/>
    <w:rsid w:val="00030CFF"/>
    <w:rsid w:val="000441B7"/>
    <w:rsid w:val="000762CC"/>
    <w:rsid w:val="0008339F"/>
    <w:rsid w:val="000B2B30"/>
    <w:rsid w:val="000B7A95"/>
    <w:rsid w:val="000E1245"/>
    <w:rsid w:val="000F049A"/>
    <w:rsid w:val="000F4447"/>
    <w:rsid w:val="00102728"/>
    <w:rsid w:val="00106CDB"/>
    <w:rsid w:val="00117FB5"/>
    <w:rsid w:val="00120DAF"/>
    <w:rsid w:val="00127188"/>
    <w:rsid w:val="00136966"/>
    <w:rsid w:val="00144514"/>
    <w:rsid w:val="00156F7E"/>
    <w:rsid w:val="00167892"/>
    <w:rsid w:val="0017263D"/>
    <w:rsid w:val="00182C88"/>
    <w:rsid w:val="00185E6B"/>
    <w:rsid w:val="001C424A"/>
    <w:rsid w:val="001D2869"/>
    <w:rsid w:val="00215D87"/>
    <w:rsid w:val="00226542"/>
    <w:rsid w:val="00233DC0"/>
    <w:rsid w:val="002442D9"/>
    <w:rsid w:val="00246B7D"/>
    <w:rsid w:val="00251E62"/>
    <w:rsid w:val="002566EA"/>
    <w:rsid w:val="0026393F"/>
    <w:rsid w:val="00296A66"/>
    <w:rsid w:val="002A6882"/>
    <w:rsid w:val="002B4D51"/>
    <w:rsid w:val="002C15DE"/>
    <w:rsid w:val="002E151C"/>
    <w:rsid w:val="002F4731"/>
    <w:rsid w:val="00307F47"/>
    <w:rsid w:val="00313624"/>
    <w:rsid w:val="00314EDF"/>
    <w:rsid w:val="00323950"/>
    <w:rsid w:val="00351A3F"/>
    <w:rsid w:val="003669EF"/>
    <w:rsid w:val="0037542C"/>
    <w:rsid w:val="003A1B5C"/>
    <w:rsid w:val="003A3BF5"/>
    <w:rsid w:val="003A460E"/>
    <w:rsid w:val="003A4892"/>
    <w:rsid w:val="003D3852"/>
    <w:rsid w:val="003F2726"/>
    <w:rsid w:val="003F2E2B"/>
    <w:rsid w:val="00413945"/>
    <w:rsid w:val="004254B1"/>
    <w:rsid w:val="00434614"/>
    <w:rsid w:val="00452841"/>
    <w:rsid w:val="00473025"/>
    <w:rsid w:val="00484268"/>
    <w:rsid w:val="004974F3"/>
    <w:rsid w:val="004A1DE7"/>
    <w:rsid w:val="004A492F"/>
    <w:rsid w:val="004A622F"/>
    <w:rsid w:val="004B01F3"/>
    <w:rsid w:val="004B106B"/>
    <w:rsid w:val="004E409A"/>
    <w:rsid w:val="004F5C01"/>
    <w:rsid w:val="00521880"/>
    <w:rsid w:val="00527C41"/>
    <w:rsid w:val="00531B89"/>
    <w:rsid w:val="00550E7D"/>
    <w:rsid w:val="00566363"/>
    <w:rsid w:val="00593216"/>
    <w:rsid w:val="005B16C9"/>
    <w:rsid w:val="005B7898"/>
    <w:rsid w:val="005C2C11"/>
    <w:rsid w:val="005C343E"/>
    <w:rsid w:val="005D2D5F"/>
    <w:rsid w:val="005D54B5"/>
    <w:rsid w:val="005D54E4"/>
    <w:rsid w:val="005E09AC"/>
    <w:rsid w:val="005F651A"/>
    <w:rsid w:val="00600041"/>
    <w:rsid w:val="0060401D"/>
    <w:rsid w:val="00622154"/>
    <w:rsid w:val="00623FF9"/>
    <w:rsid w:val="0065072E"/>
    <w:rsid w:val="006A2A4B"/>
    <w:rsid w:val="006A2E2A"/>
    <w:rsid w:val="006C0465"/>
    <w:rsid w:val="006D3DF1"/>
    <w:rsid w:val="006D47DE"/>
    <w:rsid w:val="006D54DB"/>
    <w:rsid w:val="006D7A45"/>
    <w:rsid w:val="006F7605"/>
    <w:rsid w:val="007013E2"/>
    <w:rsid w:val="00713670"/>
    <w:rsid w:val="00726F71"/>
    <w:rsid w:val="00737085"/>
    <w:rsid w:val="00750D4C"/>
    <w:rsid w:val="00765E9A"/>
    <w:rsid w:val="00775155"/>
    <w:rsid w:val="007B06D3"/>
    <w:rsid w:val="007C1994"/>
    <w:rsid w:val="007D7BFE"/>
    <w:rsid w:val="007E119A"/>
    <w:rsid w:val="0080687B"/>
    <w:rsid w:val="0081368B"/>
    <w:rsid w:val="008279F4"/>
    <w:rsid w:val="00831B63"/>
    <w:rsid w:val="00832A97"/>
    <w:rsid w:val="00836BE1"/>
    <w:rsid w:val="00837992"/>
    <w:rsid w:val="008708EF"/>
    <w:rsid w:val="00875187"/>
    <w:rsid w:val="008774A2"/>
    <w:rsid w:val="008B0213"/>
    <w:rsid w:val="008E24CC"/>
    <w:rsid w:val="008E5DEA"/>
    <w:rsid w:val="008F3C5D"/>
    <w:rsid w:val="008F7D85"/>
    <w:rsid w:val="0090141B"/>
    <w:rsid w:val="0090372C"/>
    <w:rsid w:val="00910F8B"/>
    <w:rsid w:val="00921854"/>
    <w:rsid w:val="00921C0E"/>
    <w:rsid w:val="009257B1"/>
    <w:rsid w:val="009429AC"/>
    <w:rsid w:val="00947778"/>
    <w:rsid w:val="00955B58"/>
    <w:rsid w:val="00955BFB"/>
    <w:rsid w:val="0098553B"/>
    <w:rsid w:val="00986534"/>
    <w:rsid w:val="00997AE0"/>
    <w:rsid w:val="009A69AA"/>
    <w:rsid w:val="009B4E1C"/>
    <w:rsid w:val="009C0A3E"/>
    <w:rsid w:val="009C54C6"/>
    <w:rsid w:val="009D0866"/>
    <w:rsid w:val="009F1147"/>
    <w:rsid w:val="00A01DBE"/>
    <w:rsid w:val="00A221FC"/>
    <w:rsid w:val="00A30F5E"/>
    <w:rsid w:val="00A46549"/>
    <w:rsid w:val="00A6519D"/>
    <w:rsid w:val="00A71877"/>
    <w:rsid w:val="00A767B6"/>
    <w:rsid w:val="00A81C87"/>
    <w:rsid w:val="00A97E81"/>
    <w:rsid w:val="00AB3BDC"/>
    <w:rsid w:val="00AC7688"/>
    <w:rsid w:val="00AD4FE0"/>
    <w:rsid w:val="00B05E84"/>
    <w:rsid w:val="00B113ED"/>
    <w:rsid w:val="00B124EA"/>
    <w:rsid w:val="00B32C93"/>
    <w:rsid w:val="00B4064E"/>
    <w:rsid w:val="00B4321C"/>
    <w:rsid w:val="00B54530"/>
    <w:rsid w:val="00B57AD8"/>
    <w:rsid w:val="00B74F06"/>
    <w:rsid w:val="00B7529A"/>
    <w:rsid w:val="00B92BE6"/>
    <w:rsid w:val="00B934C7"/>
    <w:rsid w:val="00BA0C32"/>
    <w:rsid w:val="00BB1F7B"/>
    <w:rsid w:val="00BB3F07"/>
    <w:rsid w:val="00BE6AB4"/>
    <w:rsid w:val="00BE6DC5"/>
    <w:rsid w:val="00BF2D30"/>
    <w:rsid w:val="00C14350"/>
    <w:rsid w:val="00C446D4"/>
    <w:rsid w:val="00C73963"/>
    <w:rsid w:val="00C81133"/>
    <w:rsid w:val="00C937B2"/>
    <w:rsid w:val="00C93F91"/>
    <w:rsid w:val="00CD1262"/>
    <w:rsid w:val="00CD21FD"/>
    <w:rsid w:val="00CD7C34"/>
    <w:rsid w:val="00CE0965"/>
    <w:rsid w:val="00CF029D"/>
    <w:rsid w:val="00D10CDA"/>
    <w:rsid w:val="00D241B1"/>
    <w:rsid w:val="00D42079"/>
    <w:rsid w:val="00D464EA"/>
    <w:rsid w:val="00D70344"/>
    <w:rsid w:val="00D749BF"/>
    <w:rsid w:val="00D85866"/>
    <w:rsid w:val="00D8599C"/>
    <w:rsid w:val="00DC5423"/>
    <w:rsid w:val="00DD0464"/>
    <w:rsid w:val="00DE64DD"/>
    <w:rsid w:val="00DF2A2F"/>
    <w:rsid w:val="00E208FE"/>
    <w:rsid w:val="00E34DD0"/>
    <w:rsid w:val="00E3565C"/>
    <w:rsid w:val="00E41538"/>
    <w:rsid w:val="00E41C9D"/>
    <w:rsid w:val="00E649A9"/>
    <w:rsid w:val="00E80312"/>
    <w:rsid w:val="00EA2BA1"/>
    <w:rsid w:val="00EA58FA"/>
    <w:rsid w:val="00EA6E4E"/>
    <w:rsid w:val="00EA6EE4"/>
    <w:rsid w:val="00EB443E"/>
    <w:rsid w:val="00EC4962"/>
    <w:rsid w:val="00EE4C82"/>
    <w:rsid w:val="00EE6C4A"/>
    <w:rsid w:val="00EF0149"/>
    <w:rsid w:val="00EF497F"/>
    <w:rsid w:val="00F13007"/>
    <w:rsid w:val="00F36383"/>
    <w:rsid w:val="00F436C2"/>
    <w:rsid w:val="00F5086D"/>
    <w:rsid w:val="00F62570"/>
    <w:rsid w:val="00F97A64"/>
    <w:rsid w:val="00FA6FF1"/>
    <w:rsid w:val="00FD4538"/>
    <w:rsid w:val="00FE1748"/>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E4"/>
    <w:pPr>
      <w:ind w:left="720"/>
      <w:contextualSpacing/>
    </w:pPr>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table" w:styleId="TableGrid">
    <w:name w:val="Table Grid"/>
    <w:basedOn w:val="TableNormal"/>
    <w:uiPriority w:val="59"/>
    <w:rsid w:val="0095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uiPriority w:val="99"/>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semiHidden/>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E4"/>
    <w:pPr>
      <w:ind w:left="720"/>
      <w:contextualSpacing/>
    </w:pPr>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table" w:styleId="TableGrid">
    <w:name w:val="Table Grid"/>
    <w:basedOn w:val="TableNormal"/>
    <w:uiPriority w:val="59"/>
    <w:rsid w:val="0095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uiPriority w:val="99"/>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semiHidden/>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057">
      <w:bodyDiv w:val="1"/>
      <w:marLeft w:val="0"/>
      <w:marRight w:val="0"/>
      <w:marTop w:val="0"/>
      <w:marBottom w:val="0"/>
      <w:divBdr>
        <w:top w:val="none" w:sz="0" w:space="0" w:color="auto"/>
        <w:left w:val="none" w:sz="0" w:space="0" w:color="auto"/>
        <w:bottom w:val="none" w:sz="0" w:space="0" w:color="auto"/>
        <w:right w:val="none" w:sz="0" w:space="0" w:color="auto"/>
      </w:divBdr>
    </w:div>
    <w:div w:id="114834715">
      <w:bodyDiv w:val="1"/>
      <w:marLeft w:val="0"/>
      <w:marRight w:val="0"/>
      <w:marTop w:val="0"/>
      <w:marBottom w:val="0"/>
      <w:divBdr>
        <w:top w:val="none" w:sz="0" w:space="0" w:color="auto"/>
        <w:left w:val="none" w:sz="0" w:space="0" w:color="auto"/>
        <w:bottom w:val="none" w:sz="0" w:space="0" w:color="auto"/>
        <w:right w:val="none" w:sz="0" w:space="0" w:color="auto"/>
      </w:divBdr>
    </w:div>
    <w:div w:id="135924432">
      <w:bodyDiv w:val="1"/>
      <w:marLeft w:val="0"/>
      <w:marRight w:val="0"/>
      <w:marTop w:val="0"/>
      <w:marBottom w:val="0"/>
      <w:divBdr>
        <w:top w:val="none" w:sz="0" w:space="0" w:color="auto"/>
        <w:left w:val="none" w:sz="0" w:space="0" w:color="auto"/>
        <w:bottom w:val="none" w:sz="0" w:space="0" w:color="auto"/>
        <w:right w:val="none" w:sz="0" w:space="0" w:color="auto"/>
      </w:divBdr>
    </w:div>
    <w:div w:id="264659487">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39049224">
      <w:bodyDiv w:val="1"/>
      <w:marLeft w:val="0"/>
      <w:marRight w:val="0"/>
      <w:marTop w:val="0"/>
      <w:marBottom w:val="0"/>
      <w:divBdr>
        <w:top w:val="none" w:sz="0" w:space="0" w:color="auto"/>
        <w:left w:val="none" w:sz="0" w:space="0" w:color="auto"/>
        <w:bottom w:val="none" w:sz="0" w:space="0" w:color="auto"/>
        <w:right w:val="none" w:sz="0" w:space="0" w:color="auto"/>
      </w:divBdr>
    </w:div>
    <w:div w:id="360594425">
      <w:bodyDiv w:val="1"/>
      <w:marLeft w:val="0"/>
      <w:marRight w:val="0"/>
      <w:marTop w:val="0"/>
      <w:marBottom w:val="0"/>
      <w:divBdr>
        <w:top w:val="none" w:sz="0" w:space="0" w:color="auto"/>
        <w:left w:val="none" w:sz="0" w:space="0" w:color="auto"/>
        <w:bottom w:val="none" w:sz="0" w:space="0" w:color="auto"/>
        <w:right w:val="none" w:sz="0" w:space="0" w:color="auto"/>
      </w:divBdr>
    </w:div>
    <w:div w:id="371417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0342">
          <w:marLeft w:val="0"/>
          <w:marRight w:val="0"/>
          <w:marTop w:val="0"/>
          <w:marBottom w:val="0"/>
          <w:divBdr>
            <w:top w:val="none" w:sz="0" w:space="0" w:color="auto"/>
            <w:left w:val="none" w:sz="0" w:space="0" w:color="auto"/>
            <w:bottom w:val="none" w:sz="0" w:space="0" w:color="auto"/>
            <w:right w:val="none" w:sz="0" w:space="0" w:color="auto"/>
          </w:divBdr>
          <w:divsChild>
            <w:div w:id="149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887">
      <w:bodyDiv w:val="1"/>
      <w:marLeft w:val="0"/>
      <w:marRight w:val="0"/>
      <w:marTop w:val="0"/>
      <w:marBottom w:val="0"/>
      <w:divBdr>
        <w:top w:val="none" w:sz="0" w:space="0" w:color="auto"/>
        <w:left w:val="none" w:sz="0" w:space="0" w:color="auto"/>
        <w:bottom w:val="none" w:sz="0" w:space="0" w:color="auto"/>
        <w:right w:val="none" w:sz="0" w:space="0" w:color="auto"/>
      </w:divBdr>
    </w:div>
    <w:div w:id="681399364">
      <w:bodyDiv w:val="1"/>
      <w:marLeft w:val="0"/>
      <w:marRight w:val="0"/>
      <w:marTop w:val="0"/>
      <w:marBottom w:val="0"/>
      <w:divBdr>
        <w:top w:val="none" w:sz="0" w:space="0" w:color="auto"/>
        <w:left w:val="none" w:sz="0" w:space="0" w:color="auto"/>
        <w:bottom w:val="none" w:sz="0" w:space="0" w:color="auto"/>
        <w:right w:val="none" w:sz="0" w:space="0" w:color="auto"/>
      </w:divBdr>
    </w:div>
    <w:div w:id="807674779">
      <w:bodyDiv w:val="1"/>
      <w:marLeft w:val="0"/>
      <w:marRight w:val="0"/>
      <w:marTop w:val="0"/>
      <w:marBottom w:val="0"/>
      <w:divBdr>
        <w:top w:val="none" w:sz="0" w:space="0" w:color="auto"/>
        <w:left w:val="none" w:sz="0" w:space="0" w:color="auto"/>
        <w:bottom w:val="none" w:sz="0" w:space="0" w:color="auto"/>
        <w:right w:val="none" w:sz="0" w:space="0" w:color="auto"/>
      </w:divBdr>
    </w:div>
    <w:div w:id="845629598">
      <w:bodyDiv w:val="1"/>
      <w:marLeft w:val="0"/>
      <w:marRight w:val="0"/>
      <w:marTop w:val="0"/>
      <w:marBottom w:val="0"/>
      <w:divBdr>
        <w:top w:val="none" w:sz="0" w:space="0" w:color="auto"/>
        <w:left w:val="none" w:sz="0" w:space="0" w:color="auto"/>
        <w:bottom w:val="none" w:sz="0" w:space="0" w:color="auto"/>
        <w:right w:val="none" w:sz="0" w:space="0" w:color="auto"/>
      </w:divBdr>
    </w:div>
    <w:div w:id="862325461">
      <w:bodyDiv w:val="1"/>
      <w:marLeft w:val="0"/>
      <w:marRight w:val="0"/>
      <w:marTop w:val="0"/>
      <w:marBottom w:val="0"/>
      <w:divBdr>
        <w:top w:val="none" w:sz="0" w:space="0" w:color="auto"/>
        <w:left w:val="none" w:sz="0" w:space="0" w:color="auto"/>
        <w:bottom w:val="none" w:sz="0" w:space="0" w:color="auto"/>
        <w:right w:val="none" w:sz="0" w:space="0" w:color="auto"/>
      </w:divBdr>
    </w:div>
    <w:div w:id="951128762">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5">
          <w:marLeft w:val="0"/>
          <w:marRight w:val="0"/>
          <w:marTop w:val="0"/>
          <w:marBottom w:val="0"/>
          <w:divBdr>
            <w:top w:val="none" w:sz="0" w:space="0" w:color="auto"/>
            <w:left w:val="none" w:sz="0" w:space="0" w:color="auto"/>
            <w:bottom w:val="none" w:sz="0" w:space="0" w:color="auto"/>
            <w:right w:val="none" w:sz="0" w:space="0" w:color="auto"/>
          </w:divBdr>
          <w:divsChild>
            <w:div w:id="1829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84">
      <w:bodyDiv w:val="1"/>
      <w:marLeft w:val="0"/>
      <w:marRight w:val="0"/>
      <w:marTop w:val="0"/>
      <w:marBottom w:val="0"/>
      <w:divBdr>
        <w:top w:val="none" w:sz="0" w:space="0" w:color="auto"/>
        <w:left w:val="none" w:sz="0" w:space="0" w:color="auto"/>
        <w:bottom w:val="none" w:sz="0" w:space="0" w:color="auto"/>
        <w:right w:val="none" w:sz="0" w:space="0" w:color="auto"/>
      </w:divBdr>
    </w:div>
    <w:div w:id="1162309963">
      <w:bodyDiv w:val="1"/>
      <w:marLeft w:val="0"/>
      <w:marRight w:val="0"/>
      <w:marTop w:val="0"/>
      <w:marBottom w:val="0"/>
      <w:divBdr>
        <w:top w:val="none" w:sz="0" w:space="0" w:color="auto"/>
        <w:left w:val="none" w:sz="0" w:space="0" w:color="auto"/>
        <w:bottom w:val="none" w:sz="0" w:space="0" w:color="auto"/>
        <w:right w:val="none" w:sz="0" w:space="0" w:color="auto"/>
      </w:divBdr>
      <w:divsChild>
        <w:div w:id="1508405454">
          <w:marLeft w:val="0"/>
          <w:marRight w:val="0"/>
          <w:marTop w:val="0"/>
          <w:marBottom w:val="0"/>
          <w:divBdr>
            <w:top w:val="none" w:sz="0" w:space="0" w:color="auto"/>
            <w:left w:val="none" w:sz="0" w:space="0" w:color="auto"/>
            <w:bottom w:val="none" w:sz="0" w:space="0" w:color="auto"/>
            <w:right w:val="none" w:sz="0" w:space="0" w:color="auto"/>
          </w:divBdr>
          <w:divsChild>
            <w:div w:id="2093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3172">
      <w:bodyDiv w:val="1"/>
      <w:marLeft w:val="0"/>
      <w:marRight w:val="0"/>
      <w:marTop w:val="0"/>
      <w:marBottom w:val="0"/>
      <w:divBdr>
        <w:top w:val="none" w:sz="0" w:space="0" w:color="auto"/>
        <w:left w:val="none" w:sz="0" w:space="0" w:color="auto"/>
        <w:bottom w:val="none" w:sz="0" w:space="0" w:color="auto"/>
        <w:right w:val="none" w:sz="0" w:space="0" w:color="auto"/>
      </w:divBdr>
    </w:div>
    <w:div w:id="1247498240">
      <w:bodyDiv w:val="1"/>
      <w:marLeft w:val="0"/>
      <w:marRight w:val="0"/>
      <w:marTop w:val="0"/>
      <w:marBottom w:val="0"/>
      <w:divBdr>
        <w:top w:val="none" w:sz="0" w:space="0" w:color="auto"/>
        <w:left w:val="none" w:sz="0" w:space="0" w:color="auto"/>
        <w:bottom w:val="none" w:sz="0" w:space="0" w:color="auto"/>
        <w:right w:val="none" w:sz="0" w:space="0" w:color="auto"/>
      </w:divBdr>
    </w:div>
    <w:div w:id="1402563381">
      <w:bodyDiv w:val="1"/>
      <w:marLeft w:val="0"/>
      <w:marRight w:val="0"/>
      <w:marTop w:val="0"/>
      <w:marBottom w:val="0"/>
      <w:divBdr>
        <w:top w:val="none" w:sz="0" w:space="0" w:color="auto"/>
        <w:left w:val="none" w:sz="0" w:space="0" w:color="auto"/>
        <w:bottom w:val="none" w:sz="0" w:space="0" w:color="auto"/>
        <w:right w:val="none" w:sz="0" w:space="0" w:color="auto"/>
      </w:divBdr>
    </w:div>
    <w:div w:id="1408721696">
      <w:bodyDiv w:val="1"/>
      <w:marLeft w:val="0"/>
      <w:marRight w:val="0"/>
      <w:marTop w:val="0"/>
      <w:marBottom w:val="0"/>
      <w:divBdr>
        <w:top w:val="none" w:sz="0" w:space="0" w:color="auto"/>
        <w:left w:val="none" w:sz="0" w:space="0" w:color="auto"/>
        <w:bottom w:val="none" w:sz="0" w:space="0" w:color="auto"/>
        <w:right w:val="none" w:sz="0" w:space="0" w:color="auto"/>
      </w:divBdr>
    </w:div>
    <w:div w:id="1449280672">
      <w:bodyDiv w:val="1"/>
      <w:marLeft w:val="0"/>
      <w:marRight w:val="0"/>
      <w:marTop w:val="0"/>
      <w:marBottom w:val="0"/>
      <w:divBdr>
        <w:top w:val="none" w:sz="0" w:space="0" w:color="auto"/>
        <w:left w:val="none" w:sz="0" w:space="0" w:color="auto"/>
        <w:bottom w:val="none" w:sz="0" w:space="0" w:color="auto"/>
        <w:right w:val="none" w:sz="0" w:space="0" w:color="auto"/>
      </w:divBdr>
    </w:div>
    <w:div w:id="1464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0">
          <w:marLeft w:val="0"/>
          <w:marRight w:val="0"/>
          <w:marTop w:val="0"/>
          <w:marBottom w:val="0"/>
          <w:divBdr>
            <w:top w:val="none" w:sz="0" w:space="0" w:color="auto"/>
            <w:left w:val="none" w:sz="0" w:space="0" w:color="auto"/>
            <w:bottom w:val="none" w:sz="0" w:space="0" w:color="auto"/>
            <w:right w:val="none" w:sz="0" w:space="0" w:color="auto"/>
          </w:divBdr>
          <w:divsChild>
            <w:div w:id="897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31">
      <w:bodyDiv w:val="1"/>
      <w:marLeft w:val="0"/>
      <w:marRight w:val="0"/>
      <w:marTop w:val="0"/>
      <w:marBottom w:val="0"/>
      <w:divBdr>
        <w:top w:val="none" w:sz="0" w:space="0" w:color="auto"/>
        <w:left w:val="none" w:sz="0" w:space="0" w:color="auto"/>
        <w:bottom w:val="none" w:sz="0" w:space="0" w:color="auto"/>
        <w:right w:val="none" w:sz="0" w:space="0" w:color="auto"/>
      </w:divBdr>
      <w:divsChild>
        <w:div w:id="573130546">
          <w:marLeft w:val="0"/>
          <w:marRight w:val="0"/>
          <w:marTop w:val="0"/>
          <w:marBottom w:val="0"/>
          <w:divBdr>
            <w:top w:val="none" w:sz="0" w:space="0" w:color="auto"/>
            <w:left w:val="none" w:sz="0" w:space="0" w:color="auto"/>
            <w:bottom w:val="none" w:sz="0" w:space="0" w:color="auto"/>
            <w:right w:val="none" w:sz="0" w:space="0" w:color="auto"/>
          </w:divBdr>
          <w:divsChild>
            <w:div w:id="1603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93">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201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elp.arcgis.com/en/arcgisdesktop/10.0/help/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esources.esri.com/help/9.3/arcgisengine/java/gp_toolref/spatial_statistics_tools/hot_spot_analysis_getis_ord_gi_star_spatial_statistics_.htm" TargetMode="External"/><Relationship Id="rId2" Type="http://schemas.openxmlformats.org/officeDocument/2006/relationships/hyperlink" Target="http://www.sce.lsu.edu/cego/documents/reviews/geospatial/spatial_autocorrelation.pdf" TargetMode="External"/><Relationship Id="rId1" Type="http://schemas.openxmlformats.org/officeDocument/2006/relationships/hyperlink" Target="http://www.sce.lsu.edu/cego/documents/reviews/geospatial/spatial_autocorre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72A7-D986-4F68-972F-46A10F78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Kari Moore</cp:lastModifiedBy>
  <cp:revision>9</cp:revision>
  <cp:lastPrinted>2013-06-23T19:03:00Z</cp:lastPrinted>
  <dcterms:created xsi:type="dcterms:W3CDTF">2016-07-12T12:23:00Z</dcterms:created>
  <dcterms:modified xsi:type="dcterms:W3CDTF">2016-07-28T12:01:00Z</dcterms:modified>
</cp:coreProperties>
</file>