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9125" w14:textId="77777777" w:rsidR="00B4321C" w:rsidRPr="00517472" w:rsidRDefault="00B4321C" w:rsidP="000F4447">
      <w:pPr>
        <w:jc w:val="center"/>
        <w:rPr>
          <w:b/>
          <w:sz w:val="36"/>
          <w:szCs w:val="36"/>
        </w:rPr>
      </w:pPr>
      <w:r w:rsidRPr="00517472">
        <w:rPr>
          <w:b/>
          <w:sz w:val="36"/>
          <w:szCs w:val="36"/>
        </w:rPr>
        <w:t>MESA Neighborhood Study</w:t>
      </w:r>
      <w:r w:rsidR="008708EF" w:rsidRPr="00517472">
        <w:rPr>
          <w:b/>
          <w:sz w:val="36"/>
          <w:szCs w:val="36"/>
        </w:rPr>
        <w:t xml:space="preserve"> (Ancillary Study </w:t>
      </w:r>
      <w:r w:rsidR="00EE6C4A" w:rsidRPr="00517472">
        <w:rPr>
          <w:b/>
          <w:sz w:val="36"/>
          <w:szCs w:val="36"/>
        </w:rPr>
        <w:t>AS023</w:t>
      </w:r>
      <w:r w:rsidR="008708EF" w:rsidRPr="00517472">
        <w:rPr>
          <w:b/>
          <w:sz w:val="36"/>
          <w:szCs w:val="36"/>
        </w:rPr>
        <w:t>)</w:t>
      </w:r>
    </w:p>
    <w:p w14:paraId="3D1EF249" w14:textId="01D7B850" w:rsidR="000F4447" w:rsidRPr="00517472" w:rsidRDefault="00517472" w:rsidP="000F4447">
      <w:pPr>
        <w:jc w:val="center"/>
        <w:rPr>
          <w:b/>
          <w:sz w:val="36"/>
          <w:szCs w:val="36"/>
        </w:rPr>
      </w:pPr>
      <w:r w:rsidRPr="00517472">
        <w:rPr>
          <w:b/>
          <w:sz w:val="36"/>
          <w:szCs w:val="36"/>
        </w:rPr>
        <w:t>Built Environment</w:t>
      </w:r>
      <w:r w:rsidR="00DC0A16" w:rsidRPr="00517472">
        <w:rPr>
          <w:b/>
          <w:sz w:val="36"/>
          <w:szCs w:val="36"/>
        </w:rPr>
        <w:t xml:space="preserve"> Measures</w:t>
      </w:r>
    </w:p>
    <w:p w14:paraId="6741BD0C" w14:textId="77777777" w:rsidR="00AD4FE0" w:rsidRPr="00517472" w:rsidRDefault="00AD4FE0" w:rsidP="00AD4FE0">
      <w:pPr>
        <w:autoSpaceDE w:val="0"/>
        <w:autoSpaceDN w:val="0"/>
        <w:adjustRightInd w:val="0"/>
        <w:spacing w:after="0" w:line="240" w:lineRule="auto"/>
        <w:rPr>
          <w:rFonts w:cs="SAS Monospace"/>
        </w:rPr>
      </w:pPr>
    </w:p>
    <w:p w14:paraId="5FFE7017" w14:textId="77777777" w:rsidR="005D54B5" w:rsidRPr="00517472" w:rsidRDefault="005D54B5" w:rsidP="00E80312">
      <w:r w:rsidRPr="00517472">
        <w:t xml:space="preserve">Please acknowledge the following grant in manuscripts and </w:t>
      </w:r>
      <w:bookmarkStart w:id="0" w:name="_GoBack"/>
      <w:bookmarkEnd w:id="0"/>
      <w:r w:rsidRPr="00517472">
        <w:t xml:space="preserve">abstracts: </w:t>
      </w:r>
      <w:r w:rsidR="00E80312" w:rsidRPr="00517472">
        <w:t>R01 HL071759 (Diez Roux)</w:t>
      </w:r>
    </w:p>
    <w:p w14:paraId="3F1F106D" w14:textId="77777777" w:rsidR="008F3C5D" w:rsidRPr="00E5142E" w:rsidRDefault="008F3C5D" w:rsidP="00E80312">
      <w:pPr>
        <w:rPr>
          <w:rFonts w:cs="Times New Roman"/>
        </w:rPr>
      </w:pPr>
      <w:r w:rsidRPr="00E5142E">
        <w:rPr>
          <w:rFonts w:cs="Times New Roman"/>
        </w:rPr>
        <w:t>Please include an acknowledgement:</w:t>
      </w:r>
    </w:p>
    <w:p w14:paraId="5B5BF640" w14:textId="215F7436" w:rsidR="00E5142E" w:rsidRPr="00E5142E" w:rsidRDefault="00E5142E" w:rsidP="00E5142E">
      <w:pPr>
        <w:autoSpaceDE w:val="0"/>
        <w:autoSpaceDN w:val="0"/>
        <w:adjustRightInd w:val="0"/>
        <w:spacing w:after="0" w:line="240" w:lineRule="auto"/>
      </w:pPr>
      <w:r w:rsidRPr="00E5142E">
        <w:rPr>
          <w:rFonts w:cs="Times New Roman"/>
        </w:rPr>
        <w:t>The authors acknowledge Melissa Smiley and Carrick Davis for their</w:t>
      </w:r>
      <w:r>
        <w:rPr>
          <w:rFonts w:cs="Times New Roman"/>
        </w:rPr>
        <w:t xml:space="preserve"> </w:t>
      </w:r>
      <w:r w:rsidRPr="00E5142E">
        <w:rPr>
          <w:rFonts w:cs="Times New Roman"/>
        </w:rPr>
        <w:t>role in collecting data from the metrop</w:t>
      </w:r>
      <w:r>
        <w:rPr>
          <w:rFonts w:cs="Times New Roman"/>
        </w:rPr>
        <w:t xml:space="preserve">olitan areas, Shannon Brines, Jana Hirsch, </w:t>
      </w:r>
      <w:r w:rsidRPr="00E5142E">
        <w:rPr>
          <w:rFonts w:cs="Times New Roman"/>
        </w:rPr>
        <w:t>Natalie Wowk</w:t>
      </w:r>
      <w:r>
        <w:rPr>
          <w:rFonts w:cs="Times New Roman"/>
        </w:rPr>
        <w:t>, and</w:t>
      </w:r>
      <w:r w:rsidRPr="00E5142E">
        <w:rPr>
          <w:rFonts w:cs="Times New Roman"/>
        </w:rPr>
        <w:t xml:space="preserve"> </w:t>
      </w:r>
      <w:r>
        <w:rPr>
          <w:rFonts w:cs="Times New Roman"/>
        </w:rPr>
        <w:t>Melissa Zagorski</w:t>
      </w:r>
      <w:r w:rsidRPr="00E5142E">
        <w:rPr>
          <w:rFonts w:cs="Times New Roman"/>
        </w:rPr>
        <w:t xml:space="preserve"> for the</w:t>
      </w:r>
      <w:r>
        <w:rPr>
          <w:rFonts w:cs="Times New Roman"/>
        </w:rPr>
        <w:t xml:space="preserve"> </w:t>
      </w:r>
      <w:r w:rsidRPr="00E5142E">
        <w:rPr>
          <w:rFonts w:cs="Times New Roman"/>
        </w:rPr>
        <w:t xml:space="preserve">creation of GIS variables, and Amanda Dudley for her </w:t>
      </w:r>
      <w:r>
        <w:rPr>
          <w:rFonts w:cs="Times New Roman"/>
        </w:rPr>
        <w:t>s</w:t>
      </w:r>
      <w:r w:rsidRPr="00E5142E">
        <w:rPr>
          <w:rFonts w:cs="Times New Roman"/>
        </w:rPr>
        <w:t>upport with license agreements</w:t>
      </w:r>
      <w:r>
        <w:rPr>
          <w:rFonts w:cs="Times New Roman"/>
        </w:rPr>
        <w:t xml:space="preserve"> </w:t>
      </w:r>
      <w:r w:rsidRPr="00E5142E">
        <w:t>and data acquisition.</w:t>
      </w:r>
    </w:p>
    <w:p w14:paraId="36EB289D" w14:textId="7202D2E8" w:rsidR="008708EF" w:rsidRPr="00CB6A4E" w:rsidRDefault="00E208FE" w:rsidP="00E5142E">
      <w:pPr>
        <w:pStyle w:val="Heading1"/>
      </w:pPr>
      <w:r w:rsidRPr="00CB6A4E">
        <w:t>Overview</w:t>
      </w:r>
      <w:r w:rsidR="008708EF" w:rsidRPr="00CB6A4E">
        <w:t>:</w:t>
      </w:r>
    </w:p>
    <w:p w14:paraId="55E7E4F1" w14:textId="326D0873" w:rsidR="007A3B73" w:rsidRDefault="007A3B73" w:rsidP="007A3B73">
      <w:r>
        <w:t xml:space="preserve">Data on food stores, eating establishments, recreational facilities, social engagement destinations, popular walking destinations, street network, </w:t>
      </w:r>
      <w:r w:rsidR="00FE5309">
        <w:t xml:space="preserve">population density, </w:t>
      </w:r>
      <w:r>
        <w:t xml:space="preserve">land use, </w:t>
      </w:r>
      <w:r w:rsidR="0032300C">
        <w:t>and public transportation were collected as part of the MESA Neighborhood study.</w:t>
      </w:r>
    </w:p>
    <w:p w14:paraId="3614CCC4" w14:textId="33911476" w:rsidR="007A3B73" w:rsidRDefault="007A3B73" w:rsidP="007A3B73">
      <w:r>
        <w:t>Business data for food stores (ie: supermarkets, fast food, drinking places, and liquor stores), recreational facilities, social engagement destinations, and popular walking destinations were purchased using the National Establishment Time Series (NETS)</w:t>
      </w:r>
      <w:r>
        <w:rPr>
          <w:rStyle w:val="FootnoteReference"/>
        </w:rPr>
        <w:footnoteReference w:id="1"/>
      </w:r>
      <w:r>
        <w:t xml:space="preserve"> data from Walls and Associates for all zip codes within a 5-mile buffer of any MESA address.</w:t>
      </w:r>
      <w:r w:rsidRPr="00836927">
        <w:t xml:space="preserve"> </w:t>
      </w:r>
      <w:r>
        <w:t xml:space="preserve"> This data is available for the years 2000-2010 and linked to the MESA addresses at the year of the exam. Densities were created for buffer sizes of ½, 1, and 3 miles around each address for both simple densities and kernel densities.  In addition, Euclidean (straight-line) distance to nearest store </w:t>
      </w:r>
      <w:r w:rsidRPr="00805B62">
        <w:t>was calculated</w:t>
      </w:r>
      <w:r>
        <w:t>.</w:t>
      </w:r>
    </w:p>
    <w:p w14:paraId="4261665B" w14:textId="26A2FB2A" w:rsidR="007A3B73" w:rsidRDefault="007A3B73" w:rsidP="007A3B73">
      <w:r>
        <w:t>Street connectivity was measured by intersection density and network ratio. All network and street calculations were performed using streets from Street Map 03 to represent year 2000 and from StreetMap Premium 2012 for year 2010 which is available for the entire US.</w:t>
      </w:r>
      <w:r w:rsidR="00FE5309">
        <w:t xml:space="preserve"> Measures are available for ½ mile and 1 mile buffers.</w:t>
      </w:r>
    </w:p>
    <w:p w14:paraId="30705DB9" w14:textId="19F3A2A8" w:rsidR="007A3B73" w:rsidRDefault="00FE5309" w:rsidP="007A3B73">
      <w:r>
        <w:t>Population density was created based on to</w:t>
      </w:r>
      <w:r w:rsidR="007A3B73">
        <w:t xml:space="preserve">tal population </w:t>
      </w:r>
      <w:r>
        <w:t>from</w:t>
      </w:r>
      <w:r w:rsidR="007A3B73">
        <w:t xml:space="preserve"> census block population data from Census 2000 and Census 2010 SF1 data downloaded from the US Census American FactFinder within a study participant’s ½ mile and 1 mile buffers.  In addition, the population density within residential area (per s</w:t>
      </w:r>
      <w:r>
        <w:t xml:space="preserve">quare kilometer) was created. </w:t>
      </w:r>
      <w:r w:rsidR="007A3B73">
        <w:t>To apply the data to exams, population from Census 2000 is used for years 2000-2005 and from Census 2010 for years 2006-2012.  The residential area used matches with the land use by site (see below).</w:t>
      </w:r>
    </w:p>
    <w:p w14:paraId="7140CC92" w14:textId="7199D560" w:rsidR="007A3B73" w:rsidRDefault="007A3B73" w:rsidP="007A3B73">
      <w:pPr>
        <w:spacing w:after="120"/>
      </w:pPr>
      <w:r>
        <w:t xml:space="preserve">Data on land use was collected from various government sources from Los Angeles, CA; Chicago, IL; Baltimore, MD; St Paul, MN; Forsyth County, NC; and New York, NY. </w:t>
      </w:r>
      <w:r w:rsidR="00FE5309">
        <w:t xml:space="preserve"> </w:t>
      </w:r>
      <w:r>
        <w:t xml:space="preserve">For each land use file, the parcels </w:t>
      </w:r>
      <w:r>
        <w:lastRenderedPageBreak/>
        <w:t>were coded into residen</w:t>
      </w:r>
      <w:r w:rsidR="00FE5309">
        <w:t xml:space="preserve">tial, retail, and commercial and percent of each was calculated for </w:t>
      </w:r>
      <w:r>
        <w:t xml:space="preserve">½ and 1 mile </w:t>
      </w:r>
      <w:r w:rsidR="00FE5309">
        <w:t xml:space="preserve">buffers </w:t>
      </w:r>
      <w:r>
        <w:t>and the straight-line (Euclidean) distance to nearest retail and commercial.  To apply the data across time for the MESA exams for longitudinal analyses, since there is data for at least two time points for all study sites, the data will be matched by exam date to the year closest in time.  See Table 3</w:t>
      </w:r>
      <w:r w:rsidR="00FE5309">
        <w:t xml:space="preserve"> in details section</w:t>
      </w:r>
      <w:r>
        <w:t xml:space="preserve"> for the timeline for how the data is applied by study site.</w:t>
      </w:r>
      <w:r w:rsidR="008842E8">
        <w:t xml:space="preserve"> Linear interpolations were also created for time between years where data is available.</w:t>
      </w:r>
    </w:p>
    <w:p w14:paraId="75AB4365" w14:textId="6623A909" w:rsidR="007A3B73" w:rsidRDefault="007A3B73" w:rsidP="008842E8">
      <w:r>
        <w:t xml:space="preserve">Distances to nearest train/subway stops and bus lines were calculated based on public transit files obtained through various government sources.  These are available for the 6 main MESA study sites (Los Angeles, CA; Chicago, IL; Baltimore, MD; St Paul, MN; Forsyth County, NC; and New York, NY).  To apply the data across time for the MESA exams for longitudinal analyses, for sites that only have data available at one year, that year will be applied to all exams.  For sites where there is more than one year available, the data will be matched by exam date to the year closest in time. See Table 4 </w:t>
      </w:r>
      <w:r w:rsidR="008842E8">
        <w:t xml:space="preserve">in details section </w:t>
      </w:r>
      <w:r>
        <w:t>for how data was applied across study years.</w:t>
      </w:r>
      <w:r w:rsidR="008842E8" w:rsidRPr="008842E8">
        <w:t xml:space="preserve"> </w:t>
      </w:r>
      <w:r w:rsidR="008842E8">
        <w:t>Linear interpolations were also created for time between years where data is available.</w:t>
      </w:r>
    </w:p>
    <w:p w14:paraId="7ABF4DE7" w14:textId="77777777" w:rsidR="007A3B73" w:rsidRDefault="007A3B73" w:rsidP="007A3B73">
      <w:r>
        <w:t>To create a combined measure that takes into account aspects of the built environment related to walking were created but extracting factors from a principle factor analysis with varimax rotation</w:t>
      </w:r>
      <w:r>
        <w:rPr>
          <w:rStyle w:val="FootnoteReference"/>
        </w:rPr>
        <w:footnoteReference w:id="2"/>
      </w:r>
      <w:r>
        <w:t>.  Variables included in the factor analysis were:</w:t>
      </w:r>
    </w:p>
    <w:p w14:paraId="181C97B9" w14:textId="77777777" w:rsidR="007A3B73" w:rsidRDefault="007A3B73" w:rsidP="007A3B73">
      <w:pPr>
        <w:pStyle w:val="ListParagraph"/>
        <w:numPr>
          <w:ilvl w:val="0"/>
          <w:numId w:val="17"/>
        </w:numPr>
      </w:pPr>
      <w:r>
        <w:t>Population density per square mile (1 mile buffer)</w:t>
      </w:r>
    </w:p>
    <w:p w14:paraId="1BF550FA" w14:textId="77777777" w:rsidR="007A3B73" w:rsidRDefault="007A3B73" w:rsidP="007A3B73">
      <w:pPr>
        <w:pStyle w:val="ListParagraph"/>
        <w:numPr>
          <w:ilvl w:val="0"/>
          <w:numId w:val="17"/>
        </w:numPr>
      </w:pPr>
      <w:r>
        <w:t>Percent retail (1 mile buffer)</w:t>
      </w:r>
    </w:p>
    <w:p w14:paraId="2D304636" w14:textId="77777777" w:rsidR="007A3B73" w:rsidRDefault="007A3B73" w:rsidP="007A3B73">
      <w:pPr>
        <w:pStyle w:val="ListParagraph"/>
        <w:numPr>
          <w:ilvl w:val="0"/>
          <w:numId w:val="17"/>
        </w:numPr>
      </w:pPr>
      <w:r>
        <w:t>Percent residential (1 mile buffer)</w:t>
      </w:r>
    </w:p>
    <w:p w14:paraId="300252B8" w14:textId="77777777" w:rsidR="007A3B73" w:rsidRDefault="007A3B73" w:rsidP="007A3B73">
      <w:pPr>
        <w:pStyle w:val="ListParagraph"/>
        <w:numPr>
          <w:ilvl w:val="0"/>
          <w:numId w:val="17"/>
        </w:numPr>
      </w:pPr>
      <w:r>
        <w:t>Popular walking destinations – simple density (1 mile buffer)</w:t>
      </w:r>
    </w:p>
    <w:p w14:paraId="642C3329" w14:textId="77777777" w:rsidR="007A3B73" w:rsidRDefault="007A3B73" w:rsidP="007A3B73">
      <w:pPr>
        <w:pStyle w:val="ListParagraph"/>
        <w:numPr>
          <w:ilvl w:val="0"/>
          <w:numId w:val="17"/>
        </w:numPr>
      </w:pPr>
      <w:r>
        <w:t>Distance to bus</w:t>
      </w:r>
    </w:p>
    <w:p w14:paraId="0EB38F54" w14:textId="77777777" w:rsidR="007A3B73" w:rsidRDefault="007A3B73" w:rsidP="007A3B73">
      <w:pPr>
        <w:pStyle w:val="ListParagraph"/>
        <w:numPr>
          <w:ilvl w:val="0"/>
          <w:numId w:val="17"/>
        </w:numPr>
      </w:pPr>
      <w:r>
        <w:t>Network ratio</w:t>
      </w:r>
    </w:p>
    <w:p w14:paraId="043FC992" w14:textId="17B8C2F6" w:rsidR="007A3B73" w:rsidRDefault="007A3B73" w:rsidP="007A3B73">
      <w:r>
        <w:t>A three-factor model was chosen for these measures.  Initial eigenvalues indicated that the first three factors explained 37%, 19%, and 15% of the variance, respectively.  The three-factor solution, which explained 81% of the variance, was preferred because of:  (a) the “leveling off” of eigenvalues on the scree plot after three factors; and (b) clarity of interpretation of the factor solution.</w:t>
      </w:r>
      <w:r w:rsidR="008842E8">
        <w:t xml:space="preserve"> </w:t>
      </w:r>
      <w:r>
        <w:t xml:space="preserve">Factor scores were created by multiplying the factor weights by the standardized variables and summing </w:t>
      </w:r>
      <w:r w:rsidRPr="005646AF">
        <w:t>for variables loading at 0.8 or higher on that factor.  Factor scores are 1</w:t>
      </w:r>
      <w:r w:rsidR="008842E8">
        <w:t>)</w:t>
      </w:r>
      <w:r w:rsidRPr="005646AF">
        <w:t xml:space="preserve"> Intensity of development</w:t>
      </w:r>
      <w:r w:rsidR="008842E8">
        <w:t xml:space="preserve"> </w:t>
      </w:r>
      <w:r w:rsidRPr="005646AF">
        <w:rPr>
          <w:rFonts w:cs="Courier New"/>
          <w:shd w:val="clear" w:color="auto" w:fill="FFFFFF"/>
        </w:rPr>
        <w:t>(</w:t>
      </w:r>
      <w:r w:rsidR="008842E8">
        <w:rPr>
          <w:rFonts w:cs="Courier New"/>
          <w:shd w:val="clear" w:color="auto" w:fill="FFFFFF"/>
        </w:rPr>
        <w:t>p</w:t>
      </w:r>
      <w:r w:rsidRPr="005646AF">
        <w:rPr>
          <w:rFonts w:cs="Courier New"/>
          <w:shd w:val="clear" w:color="auto" w:fill="FFFFFF"/>
        </w:rPr>
        <w:t>opular walking density</w:t>
      </w:r>
      <w:r w:rsidR="008842E8">
        <w:rPr>
          <w:rFonts w:cs="Courier New"/>
          <w:shd w:val="clear" w:color="auto" w:fill="FFFFFF"/>
        </w:rPr>
        <w:t xml:space="preserve">, </w:t>
      </w:r>
      <w:r w:rsidRPr="005646AF">
        <w:rPr>
          <w:rFonts w:cs="Courier New"/>
          <w:shd w:val="clear" w:color="auto" w:fill="FFFFFF"/>
        </w:rPr>
        <w:t>population density</w:t>
      </w:r>
      <w:r w:rsidR="008842E8">
        <w:rPr>
          <w:rFonts w:cs="Courier New"/>
          <w:shd w:val="clear" w:color="auto" w:fill="FFFFFF"/>
        </w:rPr>
        <w:t xml:space="preserve">, </w:t>
      </w:r>
      <w:r w:rsidRPr="005646AF">
        <w:rPr>
          <w:rFonts w:cs="Courier New"/>
          <w:shd w:val="clear" w:color="auto" w:fill="FFFFFF"/>
        </w:rPr>
        <w:t>residential)</w:t>
      </w:r>
      <w:r w:rsidR="008842E8">
        <w:rPr>
          <w:rFonts w:cs="Courier New"/>
          <w:shd w:val="clear" w:color="auto" w:fill="FFFFFF"/>
        </w:rPr>
        <w:t xml:space="preserve"> and </w:t>
      </w:r>
      <w:r w:rsidRPr="005646AF">
        <w:rPr>
          <w:rFonts w:cs="Courier New"/>
          <w:shd w:val="clear" w:color="auto" w:fill="FFFFFF"/>
        </w:rPr>
        <w:t>2</w:t>
      </w:r>
      <w:r w:rsidR="008842E8">
        <w:rPr>
          <w:rFonts w:cs="Courier New"/>
          <w:shd w:val="clear" w:color="auto" w:fill="FFFFFF"/>
        </w:rPr>
        <w:t>)</w:t>
      </w:r>
      <w:r w:rsidRPr="005646AF">
        <w:rPr>
          <w:rFonts w:cs="Courier New"/>
          <w:shd w:val="clear" w:color="auto" w:fill="FFFFFF"/>
        </w:rPr>
        <w:t xml:space="preserve"> Connected Retail centers</w:t>
      </w:r>
      <w:r w:rsidR="008842E8">
        <w:rPr>
          <w:rFonts w:cs="Courier New"/>
          <w:shd w:val="clear" w:color="auto" w:fill="FFFFFF"/>
        </w:rPr>
        <w:t xml:space="preserve"> </w:t>
      </w:r>
      <w:r w:rsidRPr="005646AF">
        <w:rPr>
          <w:rFonts w:cs="Courier New"/>
          <w:bCs/>
          <w:shd w:val="clear" w:color="auto" w:fill="FFFFFF"/>
        </w:rPr>
        <w:t>(</w:t>
      </w:r>
      <w:r w:rsidR="008842E8">
        <w:rPr>
          <w:rFonts w:cs="Courier New"/>
          <w:shd w:val="clear" w:color="auto" w:fill="FFFFFF"/>
        </w:rPr>
        <w:t>n</w:t>
      </w:r>
      <w:r w:rsidRPr="005646AF">
        <w:rPr>
          <w:rFonts w:cs="Courier New"/>
          <w:shd w:val="clear" w:color="auto" w:fill="FFFFFF"/>
        </w:rPr>
        <w:t>etwork ratio</w:t>
      </w:r>
      <w:r w:rsidR="008842E8">
        <w:rPr>
          <w:rFonts w:cs="Courier New"/>
          <w:shd w:val="clear" w:color="auto" w:fill="FFFFFF"/>
        </w:rPr>
        <w:t xml:space="preserve">, </w:t>
      </w:r>
      <w:r w:rsidRPr="005646AF">
        <w:rPr>
          <w:rFonts w:cs="Courier New"/>
          <w:shd w:val="clear" w:color="auto" w:fill="FFFFFF"/>
        </w:rPr>
        <w:t>retail)</w:t>
      </w:r>
      <w:r w:rsidR="008842E8">
        <w:rPr>
          <w:rFonts w:cs="Courier New"/>
          <w:shd w:val="clear" w:color="auto" w:fill="FFFFFF"/>
        </w:rPr>
        <w:t xml:space="preserve">. </w:t>
      </w:r>
      <w:r w:rsidRPr="005646AF">
        <w:t>A separate score was not calculated for Factor 3, since only distance to bus was highly loaded on that factor.</w:t>
      </w:r>
    </w:p>
    <w:p w14:paraId="3BB96C9A" w14:textId="433F4BFB" w:rsidR="008842E8" w:rsidRPr="005646AF" w:rsidRDefault="008842E8" w:rsidP="007A3B73">
      <w:r>
        <w:t xml:space="preserve">To assess long-term cumulative exposure to the neighborhood environment, </w:t>
      </w:r>
      <w:r>
        <w:rPr>
          <w:rFonts w:eastAsia="GuardianTextEgypGR-Regular" w:cs="GuardianTextEgypGR-Regular"/>
          <w:color w:val="1A171C"/>
        </w:rPr>
        <w:t>we created time-varying cumulative m</w:t>
      </w:r>
      <w:r>
        <w:rPr>
          <w:rFonts w:eastAsia="GuardianTextEgypGR-Regular"/>
        </w:rPr>
        <w:t>eans, defined as the mean across all months from the baseline to each follow-up exam.</w:t>
      </w:r>
    </w:p>
    <w:p w14:paraId="5F61F905" w14:textId="77777777" w:rsidR="005D54B5" w:rsidRPr="00321860" w:rsidRDefault="005D54B5" w:rsidP="005D54B5">
      <w:pPr>
        <w:pStyle w:val="Heading1"/>
      </w:pPr>
      <w:r w:rsidRPr="00321860">
        <w:lastRenderedPageBreak/>
        <w:t>Recommendations:</w:t>
      </w:r>
    </w:p>
    <w:p w14:paraId="66D24A2E" w14:textId="27802A8E" w:rsidR="006609BB" w:rsidRDefault="006609BB" w:rsidP="006609BB">
      <w:r w:rsidRPr="006609BB">
        <w:rPr>
          <w:b/>
        </w:rPr>
        <w:t>Simple vs Kernel Densities</w:t>
      </w:r>
      <w:r>
        <w:t>: The simple and kernel densities are highly correlated with one another.  The choice as to which one to use needs to be carefully thought out in terms of the outcome of interest.  The kernel density gives more weight to the facilities closer to the addresses while the simple densities give equal weight to everything within the buffer.  In most cases, the kernel density will make more conceptual sense, but this is more complicated to interpret.  This could have some policy ramifications.  If using the kernel density, for any policy recommendations it should be understood that it’s not the full bandwidth that we’re saying has an impact.  At about 80% of the radius (bandwidth) approximately 95% of the area under the kernel curve is represented (per Shannon Brines).</w:t>
      </w:r>
    </w:p>
    <w:p w14:paraId="3AD1568C" w14:textId="087DFCEE" w:rsidR="006609BB" w:rsidRDefault="006609BB" w:rsidP="006609BB">
      <w:r w:rsidRPr="006609BB">
        <w:rPr>
          <w:b/>
        </w:rPr>
        <w:t>Buffer size</w:t>
      </w:r>
      <w:r>
        <w:t>: The choice as to which buffer size to use needs to be carefully thought out in terms of the outcome of interest.  Since there is a lot of variability across the sites, it may be useful to use different buffer sizes for each site, although this will lead to more difficulty in interpretation of results.  ½ mile buffers may need to be used with some caution for some of the variables, especially at certain sites, due to the high number of 0 values for the densities.  To date, most analyses have used the 1-mile buffers.</w:t>
      </w:r>
    </w:p>
    <w:p w14:paraId="3F2CB84B" w14:textId="1EC12645" w:rsidR="00B46FBA" w:rsidRDefault="00B46FBA" w:rsidP="00B46FBA">
      <w:pPr>
        <w:spacing w:after="120"/>
      </w:pPr>
      <w:r w:rsidRPr="00B46FBA">
        <w:rPr>
          <w:b/>
        </w:rPr>
        <w:t>Retail vs Commercial:</w:t>
      </w:r>
      <w:r>
        <w:t xml:space="preserve"> Since retail is a subset of commercial, these variables should not be used together in analyses.  It is best to select one or the other for use.</w:t>
      </w:r>
      <w:r w:rsidR="008842E8">
        <w:t xml:space="preserve"> In general, retail has been used in most analyses.</w:t>
      </w:r>
    </w:p>
    <w:p w14:paraId="1808A57B" w14:textId="6EDBDA35" w:rsidR="008842E8" w:rsidRDefault="008842E8" w:rsidP="00B46FBA">
      <w:pPr>
        <w:spacing w:after="120"/>
      </w:pPr>
      <w:r w:rsidRPr="00D03171">
        <w:rPr>
          <w:b/>
        </w:rPr>
        <w:t>Partial Buffers in data collection area</w:t>
      </w:r>
      <w:r>
        <w:t>: For land use and public transportation, data was collected only for the six main study sites and selected surrounding area. For participants whose address falls completely outside the study area, these measures will be missing. For participants whose buffers fall partially within the study area, there is an indicator for the percent of the buffer within the area.  It is recommended to restrict analysis to those with at least 90% of the buffer within the area.</w:t>
      </w:r>
    </w:p>
    <w:p w14:paraId="77D8234C" w14:textId="77777777" w:rsidR="00986534" w:rsidRPr="00321860" w:rsidRDefault="00986534" w:rsidP="00986534">
      <w:pPr>
        <w:pStyle w:val="Caption"/>
      </w:pPr>
      <w:r w:rsidRPr="00321860">
        <w:t>Table 1: Recommended variables</w:t>
      </w:r>
    </w:p>
    <w:tbl>
      <w:tblPr>
        <w:tblStyle w:val="TableGrid"/>
        <w:tblW w:w="10350" w:type="dxa"/>
        <w:tblInd w:w="-612" w:type="dxa"/>
        <w:tblLayout w:type="fixed"/>
        <w:tblLook w:val="04A0" w:firstRow="1" w:lastRow="0" w:firstColumn="1" w:lastColumn="0" w:noHBand="0" w:noVBand="1"/>
      </w:tblPr>
      <w:tblGrid>
        <w:gridCol w:w="1440"/>
        <w:gridCol w:w="6660"/>
        <w:gridCol w:w="2250"/>
      </w:tblGrid>
      <w:tr w:rsidR="00DC2EDE" w:rsidRPr="00517472" w14:paraId="39F0966B" w14:textId="77777777" w:rsidTr="000B635D">
        <w:trPr>
          <w:tblHeader/>
        </w:trPr>
        <w:tc>
          <w:tcPr>
            <w:tcW w:w="1440" w:type="dxa"/>
          </w:tcPr>
          <w:p w14:paraId="1CE11AA4" w14:textId="77777777" w:rsidR="00DC2EDE" w:rsidRPr="000B635D" w:rsidRDefault="00DC2EDE" w:rsidP="008D5D59">
            <w:pPr>
              <w:tabs>
                <w:tab w:val="center" w:pos="6480"/>
              </w:tabs>
              <w:autoSpaceDE w:val="0"/>
              <w:autoSpaceDN w:val="0"/>
              <w:adjustRightInd w:val="0"/>
              <w:rPr>
                <w:rFonts w:cs="SAS Monospace"/>
                <w:b/>
                <w:sz w:val="20"/>
                <w:szCs w:val="20"/>
              </w:rPr>
            </w:pPr>
            <w:r w:rsidRPr="000B635D">
              <w:rPr>
                <w:b/>
                <w:sz w:val="20"/>
                <w:szCs w:val="20"/>
              </w:rPr>
              <w:t>Variable name</w:t>
            </w:r>
          </w:p>
        </w:tc>
        <w:tc>
          <w:tcPr>
            <w:tcW w:w="6660" w:type="dxa"/>
          </w:tcPr>
          <w:p w14:paraId="02C7BD7B" w14:textId="77777777" w:rsidR="00DC2EDE" w:rsidRPr="000B635D" w:rsidRDefault="00DC2EDE" w:rsidP="008D5D59">
            <w:pPr>
              <w:tabs>
                <w:tab w:val="center" w:pos="6480"/>
              </w:tabs>
              <w:autoSpaceDE w:val="0"/>
              <w:autoSpaceDN w:val="0"/>
              <w:adjustRightInd w:val="0"/>
              <w:rPr>
                <w:rFonts w:cs="SAS Monospace"/>
                <w:b/>
                <w:sz w:val="20"/>
                <w:szCs w:val="20"/>
              </w:rPr>
            </w:pPr>
            <w:r w:rsidRPr="000B635D">
              <w:rPr>
                <w:rFonts w:cstheme="minorHAnsi"/>
                <w:b/>
                <w:sz w:val="20"/>
                <w:szCs w:val="20"/>
              </w:rPr>
              <w:t>Description</w:t>
            </w:r>
          </w:p>
        </w:tc>
        <w:tc>
          <w:tcPr>
            <w:tcW w:w="2250" w:type="dxa"/>
          </w:tcPr>
          <w:p w14:paraId="43BCB821" w14:textId="2E475E9E" w:rsidR="00DC2EDE" w:rsidRPr="000B635D" w:rsidRDefault="00DC2EDE" w:rsidP="008D5D59">
            <w:pPr>
              <w:tabs>
                <w:tab w:val="center" w:pos="6480"/>
              </w:tabs>
              <w:autoSpaceDE w:val="0"/>
              <w:autoSpaceDN w:val="0"/>
              <w:adjustRightInd w:val="0"/>
              <w:rPr>
                <w:rFonts w:cs="SAS Monospace"/>
                <w:b/>
                <w:sz w:val="20"/>
                <w:szCs w:val="20"/>
              </w:rPr>
            </w:pPr>
            <w:r w:rsidRPr="000B635D">
              <w:rPr>
                <w:rFonts w:cstheme="minorHAnsi"/>
                <w:b/>
                <w:sz w:val="20"/>
                <w:szCs w:val="20"/>
              </w:rPr>
              <w:t>Recommendation for when to use this</w:t>
            </w:r>
          </w:p>
        </w:tc>
      </w:tr>
      <w:tr w:rsidR="000B635D" w:rsidRPr="00517472" w14:paraId="49A2F181" w14:textId="77777777" w:rsidTr="00474F7E">
        <w:trPr>
          <w:tblHeader/>
        </w:trPr>
        <w:tc>
          <w:tcPr>
            <w:tcW w:w="10350" w:type="dxa"/>
            <w:gridSpan w:val="3"/>
          </w:tcPr>
          <w:p w14:paraId="4D6C2A63" w14:textId="1546C54A" w:rsidR="000B635D" w:rsidRPr="00517472" w:rsidRDefault="000B635D" w:rsidP="008D5D59">
            <w:pPr>
              <w:tabs>
                <w:tab w:val="center" w:pos="6480"/>
              </w:tabs>
              <w:autoSpaceDE w:val="0"/>
              <w:autoSpaceDN w:val="0"/>
              <w:adjustRightInd w:val="0"/>
              <w:rPr>
                <w:rFonts w:cstheme="minorHAnsi"/>
                <w:b/>
                <w:sz w:val="20"/>
                <w:szCs w:val="20"/>
                <w:highlight w:val="yellow"/>
              </w:rPr>
            </w:pPr>
            <w:r w:rsidRPr="00CE4BB7">
              <w:rPr>
                <w:rFonts w:cs="SAS Monospace"/>
                <w:b/>
                <w:sz w:val="20"/>
                <w:szCs w:val="20"/>
              </w:rPr>
              <w:t>FOOD STORES</w:t>
            </w:r>
          </w:p>
        </w:tc>
      </w:tr>
      <w:tr w:rsidR="00227F7F" w:rsidRPr="00517472" w14:paraId="49B7AB02" w14:textId="77777777" w:rsidTr="000B635D">
        <w:trPr>
          <w:tblHeader/>
        </w:trPr>
        <w:tc>
          <w:tcPr>
            <w:tcW w:w="1440" w:type="dxa"/>
          </w:tcPr>
          <w:p w14:paraId="5E015FFD" w14:textId="69372C72" w:rsidR="00227F7F" w:rsidRPr="00CE4BB7" w:rsidRDefault="00227F7F" w:rsidP="008D5D59">
            <w:pPr>
              <w:tabs>
                <w:tab w:val="center" w:pos="6480"/>
              </w:tabs>
              <w:autoSpaceDE w:val="0"/>
              <w:autoSpaceDN w:val="0"/>
              <w:adjustRightInd w:val="0"/>
              <w:rPr>
                <w:rFonts w:cs="SAS Monospace"/>
                <w:b/>
                <w:sz w:val="20"/>
                <w:szCs w:val="20"/>
              </w:rPr>
            </w:pPr>
            <w:r>
              <w:rPr>
                <w:rFonts w:cstheme="minorHAnsi"/>
                <w:sz w:val="20"/>
                <w:szCs w:val="20"/>
              </w:rPr>
              <w:t>S1</w:t>
            </w:r>
            <w:r w:rsidRPr="00436535">
              <w:rPr>
                <w:rFonts w:cstheme="minorHAnsi"/>
                <w:sz w:val="20"/>
                <w:szCs w:val="20"/>
              </w:rPr>
              <w:t>FAV</w:t>
            </w:r>
          </w:p>
        </w:tc>
        <w:tc>
          <w:tcPr>
            <w:tcW w:w="6660" w:type="dxa"/>
          </w:tcPr>
          <w:p w14:paraId="75CC5BBA" w14:textId="04B10CD3" w:rsidR="00227F7F" w:rsidRPr="00517472" w:rsidRDefault="00227F7F" w:rsidP="008D5D59">
            <w:pPr>
              <w:tabs>
                <w:tab w:val="center" w:pos="6480"/>
              </w:tabs>
              <w:autoSpaceDE w:val="0"/>
              <w:autoSpaceDN w:val="0"/>
              <w:adjustRightInd w:val="0"/>
              <w:rPr>
                <w:rFonts w:cstheme="minorHAnsi"/>
                <w:b/>
                <w:sz w:val="20"/>
                <w:szCs w:val="20"/>
                <w:highlight w:val="yellow"/>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2250" w:type="dxa"/>
          </w:tcPr>
          <w:p w14:paraId="3BE7E136" w14:textId="0ED36D5A" w:rsidR="00227F7F" w:rsidRPr="00474F7E" w:rsidRDefault="00474F7E" w:rsidP="008D5D59">
            <w:pPr>
              <w:tabs>
                <w:tab w:val="center" w:pos="6480"/>
              </w:tabs>
              <w:autoSpaceDE w:val="0"/>
              <w:autoSpaceDN w:val="0"/>
              <w:adjustRightInd w:val="0"/>
              <w:rPr>
                <w:rFonts w:cstheme="minorHAnsi"/>
                <w:sz w:val="20"/>
                <w:szCs w:val="20"/>
              </w:rPr>
            </w:pPr>
            <w:r w:rsidRPr="00474F7E">
              <w:rPr>
                <w:rFonts w:cstheme="minorHAnsi"/>
                <w:sz w:val="20"/>
                <w:szCs w:val="20"/>
              </w:rPr>
              <w:t>For contemporaneous exposure or change in exposure</w:t>
            </w:r>
          </w:p>
        </w:tc>
      </w:tr>
      <w:tr w:rsidR="00227F7F" w:rsidRPr="00517472" w14:paraId="1AD305B6" w14:textId="77777777" w:rsidTr="000B635D">
        <w:trPr>
          <w:tblHeader/>
        </w:trPr>
        <w:tc>
          <w:tcPr>
            <w:tcW w:w="1440" w:type="dxa"/>
          </w:tcPr>
          <w:p w14:paraId="2CF2397A" w14:textId="27F973E0"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A_S1</w:t>
            </w:r>
            <w:r w:rsidRPr="00436535">
              <w:rPr>
                <w:rFonts w:cstheme="minorHAnsi"/>
                <w:sz w:val="20"/>
                <w:szCs w:val="20"/>
              </w:rPr>
              <w:t>FAV</w:t>
            </w:r>
          </w:p>
        </w:tc>
        <w:tc>
          <w:tcPr>
            <w:tcW w:w="6660" w:type="dxa"/>
          </w:tcPr>
          <w:p w14:paraId="6393DAD4" w14:textId="27DF1332" w:rsidR="00227F7F" w:rsidRPr="00436535" w:rsidRDefault="00227F7F" w:rsidP="008D5D5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2250" w:type="dxa"/>
          </w:tcPr>
          <w:p w14:paraId="3A3EEB3B" w14:textId="3B10D3BD" w:rsidR="00227F7F" w:rsidRPr="00474F7E" w:rsidRDefault="00474F7E" w:rsidP="008D5D59">
            <w:pPr>
              <w:tabs>
                <w:tab w:val="center" w:pos="6480"/>
              </w:tabs>
              <w:autoSpaceDE w:val="0"/>
              <w:autoSpaceDN w:val="0"/>
              <w:adjustRightInd w:val="0"/>
              <w:rPr>
                <w:rFonts w:cstheme="minorHAnsi"/>
                <w:sz w:val="20"/>
                <w:szCs w:val="20"/>
              </w:rPr>
            </w:pPr>
            <w:r>
              <w:rPr>
                <w:rFonts w:cstheme="minorHAnsi"/>
                <w:sz w:val="20"/>
                <w:szCs w:val="20"/>
              </w:rPr>
              <w:t>For long-term exposure to environment</w:t>
            </w:r>
          </w:p>
        </w:tc>
      </w:tr>
      <w:tr w:rsidR="00227F7F" w:rsidRPr="00517472" w14:paraId="3CBEE4E2" w14:textId="77777777" w:rsidTr="000B635D">
        <w:trPr>
          <w:tblHeader/>
        </w:trPr>
        <w:tc>
          <w:tcPr>
            <w:tcW w:w="1440" w:type="dxa"/>
          </w:tcPr>
          <w:p w14:paraId="72F8B5BA" w14:textId="6A9E8F54"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S1</w:t>
            </w:r>
            <w:r w:rsidRPr="00436535">
              <w:rPr>
                <w:rFonts w:cstheme="minorHAnsi"/>
                <w:sz w:val="20"/>
                <w:szCs w:val="20"/>
              </w:rPr>
              <w:t>MRFEI_TOT</w:t>
            </w:r>
          </w:p>
        </w:tc>
        <w:tc>
          <w:tcPr>
            <w:tcW w:w="6660" w:type="dxa"/>
          </w:tcPr>
          <w:p w14:paraId="4A60A066" w14:textId="1646A9BB" w:rsidR="00227F7F" w:rsidRPr="00436535" w:rsidRDefault="00227F7F"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w:t>
            </w:r>
            <w:r>
              <w:rPr>
                <w:rFonts w:cstheme="minorHAnsi"/>
                <w:sz w:val="20"/>
                <w:szCs w:val="20"/>
              </w:rPr>
              <w:t>1</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This is calculated from </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UNFAV).</w:t>
            </w:r>
          </w:p>
        </w:tc>
        <w:tc>
          <w:tcPr>
            <w:tcW w:w="2250" w:type="dxa"/>
          </w:tcPr>
          <w:p w14:paraId="77F63E3F" w14:textId="44F7B876" w:rsidR="00227F7F" w:rsidRPr="00474F7E" w:rsidRDefault="00474F7E" w:rsidP="008D5D59">
            <w:pPr>
              <w:tabs>
                <w:tab w:val="center" w:pos="6480"/>
              </w:tabs>
              <w:autoSpaceDE w:val="0"/>
              <w:autoSpaceDN w:val="0"/>
              <w:adjustRightInd w:val="0"/>
              <w:rPr>
                <w:rFonts w:cstheme="minorHAnsi"/>
                <w:sz w:val="20"/>
                <w:szCs w:val="20"/>
              </w:rPr>
            </w:pPr>
            <w:r w:rsidRPr="00474F7E">
              <w:rPr>
                <w:rFonts w:cstheme="minorHAnsi"/>
                <w:sz w:val="20"/>
                <w:szCs w:val="20"/>
              </w:rPr>
              <w:t>To explore relationship between healthy and unhealthy food availability</w:t>
            </w:r>
          </w:p>
        </w:tc>
      </w:tr>
      <w:tr w:rsidR="00227F7F" w:rsidRPr="00517472" w14:paraId="06E49EC2" w14:textId="77777777" w:rsidTr="000B635D">
        <w:trPr>
          <w:tblHeader/>
        </w:trPr>
        <w:tc>
          <w:tcPr>
            <w:tcW w:w="1440" w:type="dxa"/>
          </w:tcPr>
          <w:p w14:paraId="4D0423D6"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32DFA2A8" w14:textId="77777777" w:rsidR="00227F7F" w:rsidRPr="00436535" w:rsidRDefault="00227F7F" w:rsidP="008D5D59">
            <w:pPr>
              <w:tabs>
                <w:tab w:val="center" w:pos="6480"/>
              </w:tabs>
              <w:autoSpaceDE w:val="0"/>
              <w:autoSpaceDN w:val="0"/>
              <w:adjustRightInd w:val="0"/>
              <w:rPr>
                <w:rFonts w:cstheme="minorHAnsi"/>
                <w:sz w:val="20"/>
                <w:szCs w:val="20"/>
              </w:rPr>
            </w:pPr>
          </w:p>
        </w:tc>
        <w:tc>
          <w:tcPr>
            <w:tcW w:w="2250" w:type="dxa"/>
          </w:tcPr>
          <w:p w14:paraId="486FDFAC"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345BC1F5" w14:textId="77777777" w:rsidTr="00BB5508">
        <w:trPr>
          <w:tblHeader/>
        </w:trPr>
        <w:tc>
          <w:tcPr>
            <w:tcW w:w="10350" w:type="dxa"/>
            <w:gridSpan w:val="3"/>
          </w:tcPr>
          <w:p w14:paraId="0ADBFBE9" w14:textId="5967F8C2" w:rsidR="006B514F" w:rsidRPr="00474F7E" w:rsidRDefault="006B514F" w:rsidP="008D5D59">
            <w:pPr>
              <w:tabs>
                <w:tab w:val="center" w:pos="6480"/>
              </w:tabs>
              <w:autoSpaceDE w:val="0"/>
              <w:autoSpaceDN w:val="0"/>
              <w:adjustRightInd w:val="0"/>
              <w:rPr>
                <w:rFonts w:cstheme="minorHAnsi"/>
                <w:b/>
                <w:sz w:val="20"/>
                <w:szCs w:val="20"/>
              </w:rPr>
            </w:pPr>
            <w:r w:rsidRPr="00CE4BB7">
              <w:rPr>
                <w:rFonts w:cs="SAS Monospace"/>
                <w:b/>
                <w:sz w:val="20"/>
                <w:szCs w:val="20"/>
              </w:rPr>
              <w:t>RECREATIONAL/PHYSICAL ACTIVITY FACILITIES</w:t>
            </w:r>
          </w:p>
        </w:tc>
      </w:tr>
      <w:tr w:rsidR="00227F7F" w:rsidRPr="00517472" w14:paraId="338E2D0C" w14:textId="77777777" w:rsidTr="000B635D">
        <w:trPr>
          <w:tblHeader/>
        </w:trPr>
        <w:tc>
          <w:tcPr>
            <w:tcW w:w="1440" w:type="dxa"/>
          </w:tcPr>
          <w:p w14:paraId="6788ADA4" w14:textId="28B7650B" w:rsidR="00227F7F" w:rsidRPr="00CE4BB7" w:rsidRDefault="00227F7F" w:rsidP="008D5D59">
            <w:pPr>
              <w:tabs>
                <w:tab w:val="center" w:pos="6480"/>
              </w:tabs>
              <w:autoSpaceDE w:val="0"/>
              <w:autoSpaceDN w:val="0"/>
              <w:adjustRightInd w:val="0"/>
              <w:rPr>
                <w:rFonts w:cs="SAS Monospace"/>
                <w:b/>
                <w:sz w:val="20"/>
                <w:szCs w:val="20"/>
              </w:rPr>
            </w:pPr>
            <w:r>
              <w:rPr>
                <w:rFonts w:cstheme="minorHAnsi"/>
                <w:sz w:val="20"/>
                <w:szCs w:val="20"/>
              </w:rPr>
              <w:t>S1PAI</w:t>
            </w:r>
          </w:p>
        </w:tc>
        <w:tc>
          <w:tcPr>
            <w:tcW w:w="6660" w:type="dxa"/>
          </w:tcPr>
          <w:p w14:paraId="017A6943" w14:textId="1EAC2872" w:rsidR="00227F7F" w:rsidRPr="00436535" w:rsidRDefault="00227F7F" w:rsidP="008D5D59">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5024EC68" w14:textId="6061AD3D"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0ACCD0C0" w14:textId="77777777" w:rsidTr="000B635D">
        <w:trPr>
          <w:tblHeader/>
        </w:trPr>
        <w:tc>
          <w:tcPr>
            <w:tcW w:w="1440" w:type="dxa"/>
          </w:tcPr>
          <w:p w14:paraId="3D4B81A7" w14:textId="332AD263"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lastRenderedPageBreak/>
              <w:t>A_S1PAI</w:t>
            </w:r>
          </w:p>
        </w:tc>
        <w:tc>
          <w:tcPr>
            <w:tcW w:w="6660" w:type="dxa"/>
          </w:tcPr>
          <w:p w14:paraId="14B9C7ED" w14:textId="0CD5E161" w:rsidR="00227F7F" w:rsidRPr="00436535" w:rsidRDefault="00227F7F" w:rsidP="008D5D5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363783EC" w14:textId="4EDBC432" w:rsidR="00227F7F" w:rsidRPr="00474F7E" w:rsidRDefault="00474F7E" w:rsidP="008D5D59">
            <w:pPr>
              <w:tabs>
                <w:tab w:val="center" w:pos="6480"/>
              </w:tabs>
              <w:autoSpaceDE w:val="0"/>
              <w:autoSpaceDN w:val="0"/>
              <w:adjustRightInd w:val="0"/>
              <w:rPr>
                <w:rFonts w:cstheme="minorHAnsi"/>
                <w:b/>
                <w:sz w:val="20"/>
                <w:szCs w:val="20"/>
              </w:rPr>
            </w:pPr>
            <w:r>
              <w:rPr>
                <w:rFonts w:cstheme="minorHAnsi"/>
                <w:sz w:val="20"/>
                <w:szCs w:val="20"/>
              </w:rPr>
              <w:t>For long-term exposure to environment</w:t>
            </w:r>
          </w:p>
        </w:tc>
      </w:tr>
      <w:tr w:rsidR="00227F7F" w:rsidRPr="00517472" w14:paraId="4FB40CE3" w14:textId="77777777" w:rsidTr="000B635D">
        <w:trPr>
          <w:tblHeader/>
        </w:trPr>
        <w:tc>
          <w:tcPr>
            <w:tcW w:w="1440" w:type="dxa"/>
          </w:tcPr>
          <w:p w14:paraId="48B24D37"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7B491B02"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3E9E085F"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6812DBF2" w14:textId="77777777" w:rsidTr="00BB5508">
        <w:trPr>
          <w:tblHeader/>
        </w:trPr>
        <w:tc>
          <w:tcPr>
            <w:tcW w:w="10350" w:type="dxa"/>
            <w:gridSpan w:val="3"/>
          </w:tcPr>
          <w:p w14:paraId="558B9D00" w14:textId="4114194A" w:rsidR="006B514F" w:rsidRPr="00474F7E" w:rsidRDefault="006B514F" w:rsidP="008D5D59">
            <w:pPr>
              <w:tabs>
                <w:tab w:val="center" w:pos="6480"/>
              </w:tabs>
              <w:autoSpaceDE w:val="0"/>
              <w:autoSpaceDN w:val="0"/>
              <w:adjustRightInd w:val="0"/>
              <w:rPr>
                <w:rFonts w:cstheme="minorHAnsi"/>
                <w:b/>
                <w:sz w:val="20"/>
                <w:szCs w:val="20"/>
              </w:rPr>
            </w:pPr>
            <w:r w:rsidRPr="00CE4BB7">
              <w:rPr>
                <w:rFonts w:cs="SAS Monospace"/>
                <w:b/>
                <w:sz w:val="20"/>
                <w:szCs w:val="20"/>
              </w:rPr>
              <w:t>SOCIAL ENGAGEMENT DESTINATIONS</w:t>
            </w:r>
          </w:p>
        </w:tc>
      </w:tr>
      <w:tr w:rsidR="00227F7F" w:rsidRPr="00517472" w14:paraId="2A2A98DA" w14:textId="77777777" w:rsidTr="000B635D">
        <w:trPr>
          <w:tblHeader/>
        </w:trPr>
        <w:tc>
          <w:tcPr>
            <w:tcW w:w="1440" w:type="dxa"/>
          </w:tcPr>
          <w:p w14:paraId="0C4EB071" w14:textId="419F5104" w:rsidR="00227F7F" w:rsidRPr="00CE4BB7" w:rsidRDefault="00227F7F" w:rsidP="008D5D59">
            <w:pPr>
              <w:tabs>
                <w:tab w:val="center" w:pos="6480"/>
              </w:tabs>
              <w:autoSpaceDE w:val="0"/>
              <w:autoSpaceDN w:val="0"/>
              <w:adjustRightInd w:val="0"/>
              <w:rPr>
                <w:rFonts w:cs="SAS Monospace"/>
                <w:b/>
                <w:sz w:val="20"/>
                <w:szCs w:val="20"/>
              </w:rPr>
            </w:pPr>
            <w:r>
              <w:rPr>
                <w:rFonts w:cstheme="minorHAnsi"/>
                <w:sz w:val="20"/>
                <w:szCs w:val="20"/>
              </w:rPr>
              <w:t>S1SOC</w:t>
            </w:r>
          </w:p>
        </w:tc>
        <w:tc>
          <w:tcPr>
            <w:tcW w:w="6660" w:type="dxa"/>
          </w:tcPr>
          <w:p w14:paraId="41D38843" w14:textId="17F3D907"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6B1F486E" w14:textId="1E3FF473"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1EBE567F" w14:textId="77777777" w:rsidTr="000B635D">
        <w:trPr>
          <w:tblHeader/>
        </w:trPr>
        <w:tc>
          <w:tcPr>
            <w:tcW w:w="1440" w:type="dxa"/>
          </w:tcPr>
          <w:p w14:paraId="0A17740D" w14:textId="22595F98"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A_S1SOC</w:t>
            </w:r>
          </w:p>
        </w:tc>
        <w:tc>
          <w:tcPr>
            <w:tcW w:w="6660" w:type="dxa"/>
          </w:tcPr>
          <w:p w14:paraId="40CBCB2C" w14:textId="59B51A2A"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653E3684" w14:textId="60029FDC" w:rsidR="00227F7F" w:rsidRPr="00474F7E" w:rsidRDefault="00474F7E" w:rsidP="008D5D59">
            <w:pPr>
              <w:tabs>
                <w:tab w:val="center" w:pos="6480"/>
              </w:tabs>
              <w:autoSpaceDE w:val="0"/>
              <w:autoSpaceDN w:val="0"/>
              <w:adjustRightInd w:val="0"/>
              <w:rPr>
                <w:rFonts w:cstheme="minorHAnsi"/>
                <w:b/>
                <w:sz w:val="20"/>
                <w:szCs w:val="20"/>
              </w:rPr>
            </w:pPr>
            <w:r>
              <w:rPr>
                <w:rFonts w:cstheme="minorHAnsi"/>
                <w:sz w:val="20"/>
                <w:szCs w:val="20"/>
              </w:rPr>
              <w:t>For long-term exposure to environment</w:t>
            </w:r>
          </w:p>
        </w:tc>
      </w:tr>
      <w:tr w:rsidR="00227F7F" w:rsidRPr="00517472" w14:paraId="565799DC" w14:textId="77777777" w:rsidTr="000B635D">
        <w:trPr>
          <w:tblHeader/>
        </w:trPr>
        <w:tc>
          <w:tcPr>
            <w:tcW w:w="1440" w:type="dxa"/>
          </w:tcPr>
          <w:p w14:paraId="4529BB3D"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6D00DB3D"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54E7A952"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027E454D" w14:textId="77777777" w:rsidTr="00BB5508">
        <w:trPr>
          <w:tblHeader/>
        </w:trPr>
        <w:tc>
          <w:tcPr>
            <w:tcW w:w="10350" w:type="dxa"/>
            <w:gridSpan w:val="3"/>
          </w:tcPr>
          <w:p w14:paraId="18F823B3" w14:textId="0EDC7178" w:rsidR="006B514F" w:rsidRPr="00474F7E" w:rsidRDefault="006B514F" w:rsidP="008D5D59">
            <w:pPr>
              <w:tabs>
                <w:tab w:val="center" w:pos="6480"/>
              </w:tabs>
              <w:autoSpaceDE w:val="0"/>
              <w:autoSpaceDN w:val="0"/>
              <w:adjustRightInd w:val="0"/>
              <w:rPr>
                <w:rFonts w:cstheme="minorHAnsi"/>
                <w:b/>
                <w:sz w:val="20"/>
                <w:szCs w:val="20"/>
              </w:rPr>
            </w:pPr>
            <w:r w:rsidRPr="00CE4BB7">
              <w:rPr>
                <w:rFonts w:cs="SAS Monospace"/>
                <w:b/>
                <w:sz w:val="20"/>
                <w:szCs w:val="20"/>
              </w:rPr>
              <w:t>POPULAR WALKING DESTINATIONS</w:t>
            </w:r>
          </w:p>
        </w:tc>
      </w:tr>
      <w:tr w:rsidR="00227F7F" w:rsidRPr="00517472" w14:paraId="3A67E556" w14:textId="77777777" w:rsidTr="000B635D">
        <w:trPr>
          <w:tblHeader/>
        </w:trPr>
        <w:tc>
          <w:tcPr>
            <w:tcW w:w="1440" w:type="dxa"/>
          </w:tcPr>
          <w:p w14:paraId="38079597" w14:textId="797C1064" w:rsidR="00227F7F" w:rsidRPr="00CE4BB7" w:rsidRDefault="00227F7F" w:rsidP="008D5D59">
            <w:pPr>
              <w:tabs>
                <w:tab w:val="center" w:pos="6480"/>
              </w:tabs>
              <w:autoSpaceDE w:val="0"/>
              <w:autoSpaceDN w:val="0"/>
              <w:adjustRightInd w:val="0"/>
              <w:rPr>
                <w:rFonts w:cs="SAS Monospace"/>
                <w:b/>
                <w:sz w:val="20"/>
                <w:szCs w:val="20"/>
              </w:rPr>
            </w:pPr>
            <w:r>
              <w:rPr>
                <w:rFonts w:cstheme="minorHAnsi"/>
                <w:sz w:val="20"/>
                <w:szCs w:val="20"/>
              </w:rPr>
              <w:t>S1WALK</w:t>
            </w:r>
          </w:p>
        </w:tc>
        <w:tc>
          <w:tcPr>
            <w:tcW w:w="6660" w:type="dxa"/>
          </w:tcPr>
          <w:p w14:paraId="16029D45" w14:textId="278DB920" w:rsidR="00227F7F" w:rsidRDefault="00227F7F" w:rsidP="008D5D59">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7D582A9E" w14:textId="169199DA"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1BAF51EA" w14:textId="77777777" w:rsidTr="000B635D">
        <w:trPr>
          <w:tblHeader/>
        </w:trPr>
        <w:tc>
          <w:tcPr>
            <w:tcW w:w="1440" w:type="dxa"/>
          </w:tcPr>
          <w:p w14:paraId="3B0E37DF" w14:textId="1BD648E8"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A_S1WALK</w:t>
            </w:r>
          </w:p>
        </w:tc>
        <w:tc>
          <w:tcPr>
            <w:tcW w:w="6660" w:type="dxa"/>
          </w:tcPr>
          <w:p w14:paraId="2B823F41" w14:textId="06B7AE26" w:rsidR="00227F7F" w:rsidRPr="00436535" w:rsidRDefault="00227F7F" w:rsidP="008D5D5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2250" w:type="dxa"/>
          </w:tcPr>
          <w:p w14:paraId="3EC160E7" w14:textId="5FBB91C3" w:rsidR="00227F7F" w:rsidRPr="00474F7E" w:rsidRDefault="00474F7E" w:rsidP="008D5D59">
            <w:pPr>
              <w:tabs>
                <w:tab w:val="center" w:pos="6480"/>
              </w:tabs>
              <w:autoSpaceDE w:val="0"/>
              <w:autoSpaceDN w:val="0"/>
              <w:adjustRightInd w:val="0"/>
              <w:rPr>
                <w:rFonts w:cstheme="minorHAnsi"/>
                <w:b/>
                <w:sz w:val="20"/>
                <w:szCs w:val="20"/>
              </w:rPr>
            </w:pPr>
            <w:r>
              <w:rPr>
                <w:rFonts w:cstheme="minorHAnsi"/>
                <w:sz w:val="20"/>
                <w:szCs w:val="20"/>
              </w:rPr>
              <w:t>For long-term exposure to environment</w:t>
            </w:r>
          </w:p>
        </w:tc>
      </w:tr>
      <w:tr w:rsidR="00227F7F" w:rsidRPr="00517472" w14:paraId="500ED78E" w14:textId="77777777" w:rsidTr="000B635D">
        <w:trPr>
          <w:tblHeader/>
        </w:trPr>
        <w:tc>
          <w:tcPr>
            <w:tcW w:w="1440" w:type="dxa"/>
          </w:tcPr>
          <w:p w14:paraId="7F6650ED"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133B81A5"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6CE95FD8"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4F8893E5" w14:textId="77777777" w:rsidTr="00BB5508">
        <w:trPr>
          <w:tblHeader/>
        </w:trPr>
        <w:tc>
          <w:tcPr>
            <w:tcW w:w="10350" w:type="dxa"/>
            <w:gridSpan w:val="3"/>
          </w:tcPr>
          <w:p w14:paraId="7B0D7D30" w14:textId="2AB14BFE" w:rsidR="006B514F" w:rsidRPr="00474F7E" w:rsidRDefault="006B514F" w:rsidP="008D5D59">
            <w:pPr>
              <w:tabs>
                <w:tab w:val="center" w:pos="6480"/>
              </w:tabs>
              <w:autoSpaceDE w:val="0"/>
              <w:autoSpaceDN w:val="0"/>
              <w:adjustRightInd w:val="0"/>
              <w:rPr>
                <w:rFonts w:cstheme="minorHAnsi"/>
                <w:b/>
                <w:sz w:val="20"/>
                <w:szCs w:val="20"/>
              </w:rPr>
            </w:pPr>
            <w:r w:rsidRPr="00CE4BB7">
              <w:rPr>
                <w:rFonts w:cs="SAS Monospace"/>
                <w:b/>
                <w:sz w:val="20"/>
                <w:szCs w:val="20"/>
              </w:rPr>
              <w:t>STREET NETWORK</w:t>
            </w:r>
          </w:p>
        </w:tc>
      </w:tr>
      <w:tr w:rsidR="00227F7F" w:rsidRPr="00517472" w14:paraId="22F86734" w14:textId="77777777" w:rsidTr="000B635D">
        <w:trPr>
          <w:tblHeader/>
        </w:trPr>
        <w:tc>
          <w:tcPr>
            <w:tcW w:w="1440" w:type="dxa"/>
          </w:tcPr>
          <w:p w14:paraId="426F086E" w14:textId="1C884239" w:rsidR="00227F7F" w:rsidRPr="00CE4BB7" w:rsidRDefault="00227F7F" w:rsidP="008D5D59">
            <w:pPr>
              <w:tabs>
                <w:tab w:val="center" w:pos="6480"/>
              </w:tabs>
              <w:autoSpaceDE w:val="0"/>
              <w:autoSpaceDN w:val="0"/>
              <w:adjustRightInd w:val="0"/>
              <w:rPr>
                <w:rFonts w:cs="SAS Monospace"/>
                <w:b/>
                <w:sz w:val="20"/>
                <w:szCs w:val="20"/>
              </w:rPr>
            </w:pPr>
            <w:r>
              <w:rPr>
                <w:rFonts w:cstheme="minorHAnsi"/>
                <w:sz w:val="20"/>
                <w:szCs w:val="20"/>
              </w:rPr>
              <w:t>NetRatio1</w:t>
            </w:r>
          </w:p>
        </w:tc>
        <w:tc>
          <w:tcPr>
            <w:tcW w:w="6660" w:type="dxa"/>
          </w:tcPr>
          <w:p w14:paraId="38A33602" w14:textId="32613F61"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1 mile buffer Network Ratio – a measure of street connectivity.  A number closer to 1 represents better connectivity. Calculated as Network area divided by total area of the buffer.</w:t>
            </w:r>
          </w:p>
        </w:tc>
        <w:tc>
          <w:tcPr>
            <w:tcW w:w="2250" w:type="dxa"/>
          </w:tcPr>
          <w:p w14:paraId="685BC098" w14:textId="6AC7EAE7"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08F50912" w14:textId="77777777" w:rsidTr="000B635D">
        <w:trPr>
          <w:tblHeader/>
        </w:trPr>
        <w:tc>
          <w:tcPr>
            <w:tcW w:w="1440" w:type="dxa"/>
          </w:tcPr>
          <w:p w14:paraId="00C3EE94" w14:textId="24BD8879"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A_NetRatio1</w:t>
            </w:r>
          </w:p>
        </w:tc>
        <w:tc>
          <w:tcPr>
            <w:tcW w:w="6660" w:type="dxa"/>
          </w:tcPr>
          <w:p w14:paraId="77A45943" w14:textId="16294980"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Cumulative average of 1 mile buffer Network Ratio – a measure of street connectivity.  A number closer to 1 represents better connectivity. Calculated as Network area divided by total area of the buffer.</w:t>
            </w:r>
          </w:p>
        </w:tc>
        <w:tc>
          <w:tcPr>
            <w:tcW w:w="2250" w:type="dxa"/>
          </w:tcPr>
          <w:p w14:paraId="770153B4" w14:textId="39D3D3AF" w:rsidR="00227F7F" w:rsidRPr="00474F7E" w:rsidRDefault="00474F7E" w:rsidP="008D5D59">
            <w:pPr>
              <w:tabs>
                <w:tab w:val="center" w:pos="6480"/>
              </w:tabs>
              <w:autoSpaceDE w:val="0"/>
              <w:autoSpaceDN w:val="0"/>
              <w:adjustRightInd w:val="0"/>
              <w:rPr>
                <w:rFonts w:cstheme="minorHAnsi"/>
                <w:b/>
                <w:sz w:val="20"/>
                <w:szCs w:val="20"/>
              </w:rPr>
            </w:pPr>
            <w:r>
              <w:rPr>
                <w:rFonts w:cstheme="minorHAnsi"/>
                <w:sz w:val="20"/>
                <w:szCs w:val="20"/>
              </w:rPr>
              <w:t>For long-term exposure to environment</w:t>
            </w:r>
          </w:p>
        </w:tc>
      </w:tr>
      <w:tr w:rsidR="00227F7F" w:rsidRPr="00517472" w14:paraId="0EF7820B" w14:textId="77777777" w:rsidTr="000B635D">
        <w:trPr>
          <w:tblHeader/>
        </w:trPr>
        <w:tc>
          <w:tcPr>
            <w:tcW w:w="1440" w:type="dxa"/>
          </w:tcPr>
          <w:p w14:paraId="3E178045" w14:textId="0C0C708D"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NetRatio1ip</w:t>
            </w:r>
          </w:p>
        </w:tc>
        <w:tc>
          <w:tcPr>
            <w:tcW w:w="6660" w:type="dxa"/>
          </w:tcPr>
          <w:p w14:paraId="26A0A7FE" w14:textId="54469901"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Interpolated 1 mile buffer Network Ratio – a measure of street connectivity.  A number closer to 1 represents better connectivity. Calculated as Network area divided by total area of the buffer.</w:t>
            </w:r>
          </w:p>
        </w:tc>
        <w:tc>
          <w:tcPr>
            <w:tcW w:w="2250" w:type="dxa"/>
          </w:tcPr>
          <w:p w14:paraId="7C597557" w14:textId="16869748" w:rsidR="00227F7F" w:rsidRPr="006B514F" w:rsidRDefault="006B514F" w:rsidP="008D5D59">
            <w:pPr>
              <w:tabs>
                <w:tab w:val="center" w:pos="6480"/>
              </w:tabs>
              <w:autoSpaceDE w:val="0"/>
              <w:autoSpaceDN w:val="0"/>
              <w:adjustRightInd w:val="0"/>
              <w:rPr>
                <w:rFonts w:cstheme="minorHAnsi"/>
                <w:sz w:val="20"/>
                <w:szCs w:val="20"/>
              </w:rPr>
            </w:pPr>
            <w:r w:rsidRPr="006B514F">
              <w:rPr>
                <w:rFonts w:cstheme="minorHAnsi"/>
                <w:sz w:val="20"/>
                <w:szCs w:val="20"/>
              </w:rPr>
              <w:t>Offers more variability over time.</w:t>
            </w:r>
          </w:p>
        </w:tc>
      </w:tr>
      <w:tr w:rsidR="00227F7F" w:rsidRPr="00517472" w14:paraId="07ED8437" w14:textId="77777777" w:rsidTr="000B635D">
        <w:trPr>
          <w:tblHeader/>
        </w:trPr>
        <w:tc>
          <w:tcPr>
            <w:tcW w:w="1440" w:type="dxa"/>
          </w:tcPr>
          <w:p w14:paraId="7503165D"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127DD796"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00C45B41"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127278E4" w14:textId="77777777" w:rsidTr="00BB5508">
        <w:trPr>
          <w:tblHeader/>
        </w:trPr>
        <w:tc>
          <w:tcPr>
            <w:tcW w:w="10350" w:type="dxa"/>
            <w:gridSpan w:val="3"/>
          </w:tcPr>
          <w:p w14:paraId="7696CE3A" w14:textId="3779EFC8" w:rsidR="006B514F" w:rsidRPr="00474F7E" w:rsidRDefault="006B514F" w:rsidP="008D5D59">
            <w:pPr>
              <w:tabs>
                <w:tab w:val="center" w:pos="6480"/>
              </w:tabs>
              <w:autoSpaceDE w:val="0"/>
              <w:autoSpaceDN w:val="0"/>
              <w:adjustRightInd w:val="0"/>
              <w:rPr>
                <w:rFonts w:cstheme="minorHAnsi"/>
                <w:b/>
                <w:sz w:val="20"/>
                <w:szCs w:val="20"/>
              </w:rPr>
            </w:pPr>
            <w:r w:rsidRPr="00FC173E">
              <w:rPr>
                <w:rFonts w:cs="SAS Monospace"/>
                <w:b/>
                <w:sz w:val="20"/>
                <w:szCs w:val="20"/>
              </w:rPr>
              <w:t>POPULATION DENSITY</w:t>
            </w:r>
          </w:p>
        </w:tc>
      </w:tr>
      <w:tr w:rsidR="00227F7F" w:rsidRPr="00517472" w14:paraId="69B07B6B" w14:textId="77777777" w:rsidTr="000B635D">
        <w:trPr>
          <w:tblHeader/>
        </w:trPr>
        <w:tc>
          <w:tcPr>
            <w:tcW w:w="1440" w:type="dxa"/>
          </w:tcPr>
          <w:p w14:paraId="2994BE18" w14:textId="2D7C0221" w:rsidR="00227F7F" w:rsidRPr="00FC173E" w:rsidRDefault="00227F7F" w:rsidP="008D5D59">
            <w:pPr>
              <w:tabs>
                <w:tab w:val="center" w:pos="6480"/>
              </w:tabs>
              <w:autoSpaceDE w:val="0"/>
              <w:autoSpaceDN w:val="0"/>
              <w:adjustRightInd w:val="0"/>
              <w:rPr>
                <w:rFonts w:cs="SAS Monospace"/>
                <w:b/>
                <w:sz w:val="20"/>
                <w:szCs w:val="20"/>
              </w:rPr>
            </w:pPr>
            <w:r>
              <w:rPr>
                <w:rFonts w:cstheme="minorHAnsi"/>
                <w:sz w:val="20"/>
                <w:szCs w:val="20"/>
              </w:rPr>
              <w:t>POPDENMI1</w:t>
            </w:r>
          </w:p>
        </w:tc>
        <w:tc>
          <w:tcPr>
            <w:tcW w:w="6660" w:type="dxa"/>
          </w:tcPr>
          <w:p w14:paraId="4A4D6321" w14:textId="096A842F"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Population density in 1 mile buffer (persons per square mile) based on Census population data. Calculated as population divided by total area of the buffer.</w:t>
            </w:r>
          </w:p>
        </w:tc>
        <w:tc>
          <w:tcPr>
            <w:tcW w:w="2250" w:type="dxa"/>
          </w:tcPr>
          <w:p w14:paraId="15E0BC9C" w14:textId="128B8E4A"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25CF2A03" w14:textId="77777777" w:rsidTr="000B635D">
        <w:trPr>
          <w:tblHeader/>
        </w:trPr>
        <w:tc>
          <w:tcPr>
            <w:tcW w:w="1440" w:type="dxa"/>
          </w:tcPr>
          <w:p w14:paraId="55AC0F33" w14:textId="0E226B82"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POPDENMI1ip</w:t>
            </w:r>
          </w:p>
        </w:tc>
        <w:tc>
          <w:tcPr>
            <w:tcW w:w="6660" w:type="dxa"/>
          </w:tcPr>
          <w:p w14:paraId="44CFFABC" w14:textId="59831545"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Interpolated Population density in 1 mile buffer (persons per square mile) based on Census population data. Calculated as population divided by total area of the buffer.</w:t>
            </w:r>
          </w:p>
        </w:tc>
        <w:tc>
          <w:tcPr>
            <w:tcW w:w="2250" w:type="dxa"/>
          </w:tcPr>
          <w:p w14:paraId="79D2C4A7" w14:textId="4903796D" w:rsidR="00227F7F" w:rsidRPr="00474F7E" w:rsidRDefault="006B514F" w:rsidP="008D5D59">
            <w:pPr>
              <w:tabs>
                <w:tab w:val="center" w:pos="6480"/>
              </w:tabs>
              <w:autoSpaceDE w:val="0"/>
              <w:autoSpaceDN w:val="0"/>
              <w:adjustRightInd w:val="0"/>
              <w:rPr>
                <w:rFonts w:cstheme="minorHAnsi"/>
                <w:b/>
                <w:sz w:val="20"/>
                <w:szCs w:val="20"/>
              </w:rPr>
            </w:pPr>
            <w:r w:rsidRPr="006B514F">
              <w:rPr>
                <w:rFonts w:cstheme="minorHAnsi"/>
                <w:sz w:val="20"/>
                <w:szCs w:val="20"/>
              </w:rPr>
              <w:t>Offers more variability over time.</w:t>
            </w:r>
          </w:p>
        </w:tc>
      </w:tr>
      <w:tr w:rsidR="00227F7F" w:rsidRPr="00517472" w14:paraId="434E979C" w14:textId="77777777" w:rsidTr="000B635D">
        <w:trPr>
          <w:tblHeader/>
        </w:trPr>
        <w:tc>
          <w:tcPr>
            <w:tcW w:w="1440" w:type="dxa"/>
          </w:tcPr>
          <w:p w14:paraId="027579E4"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6FD1DE9E"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6156357B"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7454CCF0" w14:textId="77777777" w:rsidTr="00BB5508">
        <w:trPr>
          <w:tblHeader/>
        </w:trPr>
        <w:tc>
          <w:tcPr>
            <w:tcW w:w="10350" w:type="dxa"/>
            <w:gridSpan w:val="3"/>
          </w:tcPr>
          <w:p w14:paraId="2C16735F" w14:textId="6E14D5F6" w:rsidR="006B514F" w:rsidRPr="00474F7E" w:rsidRDefault="006B514F" w:rsidP="008D5D59">
            <w:pPr>
              <w:tabs>
                <w:tab w:val="center" w:pos="6480"/>
              </w:tabs>
              <w:autoSpaceDE w:val="0"/>
              <w:autoSpaceDN w:val="0"/>
              <w:adjustRightInd w:val="0"/>
              <w:rPr>
                <w:rFonts w:cstheme="minorHAnsi"/>
                <w:b/>
                <w:sz w:val="20"/>
                <w:szCs w:val="20"/>
              </w:rPr>
            </w:pPr>
            <w:r w:rsidRPr="00E471A3">
              <w:rPr>
                <w:rFonts w:cs="SAS Monospace"/>
                <w:b/>
                <w:sz w:val="20"/>
                <w:szCs w:val="20"/>
              </w:rPr>
              <w:t>LAND USE</w:t>
            </w:r>
          </w:p>
        </w:tc>
      </w:tr>
      <w:tr w:rsidR="00227F7F" w:rsidRPr="00517472" w14:paraId="3F2A57D2" w14:textId="77777777" w:rsidTr="000B635D">
        <w:trPr>
          <w:tblHeader/>
        </w:trPr>
        <w:tc>
          <w:tcPr>
            <w:tcW w:w="1440" w:type="dxa"/>
          </w:tcPr>
          <w:p w14:paraId="60E4915A" w14:textId="2DB36AF5" w:rsidR="00227F7F" w:rsidRPr="00E471A3" w:rsidRDefault="00227F7F" w:rsidP="008D5D59">
            <w:pPr>
              <w:tabs>
                <w:tab w:val="center" w:pos="6480"/>
              </w:tabs>
              <w:autoSpaceDE w:val="0"/>
              <w:autoSpaceDN w:val="0"/>
              <w:adjustRightInd w:val="0"/>
              <w:rPr>
                <w:rFonts w:cs="SAS Monospace"/>
                <w:b/>
                <w:sz w:val="20"/>
                <w:szCs w:val="20"/>
              </w:rPr>
            </w:pPr>
            <w:r>
              <w:rPr>
                <w:rFonts w:cstheme="minorHAnsi"/>
                <w:sz w:val="20"/>
                <w:szCs w:val="20"/>
              </w:rPr>
              <w:t>PRET1</w:t>
            </w:r>
          </w:p>
        </w:tc>
        <w:tc>
          <w:tcPr>
            <w:tcW w:w="6660" w:type="dxa"/>
          </w:tcPr>
          <w:p w14:paraId="3BA90EED" w14:textId="571B06DA"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1 mile buffer percent of land devoted to retail use.</w:t>
            </w:r>
          </w:p>
        </w:tc>
        <w:tc>
          <w:tcPr>
            <w:tcW w:w="2250" w:type="dxa"/>
          </w:tcPr>
          <w:p w14:paraId="5FAE5CC8" w14:textId="0EDE75CB"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7598ABB2" w14:textId="77777777" w:rsidTr="000B635D">
        <w:trPr>
          <w:tblHeader/>
        </w:trPr>
        <w:tc>
          <w:tcPr>
            <w:tcW w:w="1440" w:type="dxa"/>
          </w:tcPr>
          <w:p w14:paraId="09003E9E" w14:textId="3CF55DB4"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A_PRET1</w:t>
            </w:r>
          </w:p>
        </w:tc>
        <w:tc>
          <w:tcPr>
            <w:tcW w:w="6660" w:type="dxa"/>
          </w:tcPr>
          <w:p w14:paraId="696EFC27" w14:textId="2C189FFA"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Cumulative average of 1 mile buffer percent of land devoted to retail use.</w:t>
            </w:r>
          </w:p>
        </w:tc>
        <w:tc>
          <w:tcPr>
            <w:tcW w:w="2250" w:type="dxa"/>
          </w:tcPr>
          <w:p w14:paraId="61CC4C51" w14:textId="0E6CC55B" w:rsidR="00227F7F" w:rsidRPr="00474F7E" w:rsidRDefault="00474F7E" w:rsidP="008D5D59">
            <w:pPr>
              <w:tabs>
                <w:tab w:val="center" w:pos="6480"/>
              </w:tabs>
              <w:autoSpaceDE w:val="0"/>
              <w:autoSpaceDN w:val="0"/>
              <w:adjustRightInd w:val="0"/>
              <w:rPr>
                <w:rFonts w:cstheme="minorHAnsi"/>
                <w:b/>
                <w:sz w:val="20"/>
                <w:szCs w:val="20"/>
              </w:rPr>
            </w:pPr>
            <w:r>
              <w:rPr>
                <w:rFonts w:cstheme="minorHAnsi"/>
                <w:sz w:val="20"/>
                <w:szCs w:val="20"/>
              </w:rPr>
              <w:t>For long-term exposure to environment</w:t>
            </w:r>
          </w:p>
        </w:tc>
      </w:tr>
      <w:tr w:rsidR="00227F7F" w:rsidRPr="00517472" w14:paraId="6F2A7ABD" w14:textId="77777777" w:rsidTr="000B635D">
        <w:trPr>
          <w:tblHeader/>
        </w:trPr>
        <w:tc>
          <w:tcPr>
            <w:tcW w:w="1440" w:type="dxa"/>
          </w:tcPr>
          <w:p w14:paraId="24FEAF6C" w14:textId="712CB02A"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PRET1ip</w:t>
            </w:r>
          </w:p>
        </w:tc>
        <w:tc>
          <w:tcPr>
            <w:tcW w:w="6660" w:type="dxa"/>
          </w:tcPr>
          <w:p w14:paraId="599C9541" w14:textId="5A6F27A4"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Interpolated 1 mile buffer percent of land devoted to retail use.</w:t>
            </w:r>
          </w:p>
        </w:tc>
        <w:tc>
          <w:tcPr>
            <w:tcW w:w="2250" w:type="dxa"/>
          </w:tcPr>
          <w:p w14:paraId="6716C257" w14:textId="25562CD5" w:rsidR="00227F7F" w:rsidRPr="00474F7E" w:rsidRDefault="006B514F" w:rsidP="008D5D59">
            <w:pPr>
              <w:tabs>
                <w:tab w:val="center" w:pos="6480"/>
              </w:tabs>
              <w:autoSpaceDE w:val="0"/>
              <w:autoSpaceDN w:val="0"/>
              <w:adjustRightInd w:val="0"/>
              <w:rPr>
                <w:rFonts w:cstheme="minorHAnsi"/>
                <w:b/>
                <w:sz w:val="20"/>
                <w:szCs w:val="20"/>
              </w:rPr>
            </w:pPr>
            <w:r w:rsidRPr="006B514F">
              <w:rPr>
                <w:rFonts w:cstheme="minorHAnsi"/>
                <w:sz w:val="20"/>
                <w:szCs w:val="20"/>
              </w:rPr>
              <w:t>Offers more variability over time.</w:t>
            </w:r>
          </w:p>
        </w:tc>
      </w:tr>
      <w:tr w:rsidR="00227F7F" w:rsidRPr="00517472" w14:paraId="2E2CEDD9" w14:textId="77777777" w:rsidTr="000B635D">
        <w:trPr>
          <w:tblHeader/>
        </w:trPr>
        <w:tc>
          <w:tcPr>
            <w:tcW w:w="1440" w:type="dxa"/>
          </w:tcPr>
          <w:p w14:paraId="54FBA6D5"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553C1CCF"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7E2A0C75"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198C443B" w14:textId="77777777" w:rsidTr="00BB5508">
        <w:trPr>
          <w:tblHeader/>
        </w:trPr>
        <w:tc>
          <w:tcPr>
            <w:tcW w:w="10350" w:type="dxa"/>
            <w:gridSpan w:val="3"/>
          </w:tcPr>
          <w:p w14:paraId="14A1AD91" w14:textId="4B5D8798" w:rsidR="006B514F" w:rsidRPr="00474F7E" w:rsidRDefault="006B514F" w:rsidP="008D5D59">
            <w:pPr>
              <w:tabs>
                <w:tab w:val="center" w:pos="6480"/>
              </w:tabs>
              <w:autoSpaceDE w:val="0"/>
              <w:autoSpaceDN w:val="0"/>
              <w:adjustRightInd w:val="0"/>
              <w:rPr>
                <w:rFonts w:cstheme="minorHAnsi"/>
                <w:b/>
                <w:sz w:val="20"/>
                <w:szCs w:val="20"/>
              </w:rPr>
            </w:pPr>
            <w:r w:rsidRPr="00073DD5">
              <w:rPr>
                <w:rFonts w:cs="SAS Monospace"/>
                <w:b/>
                <w:sz w:val="20"/>
                <w:szCs w:val="20"/>
              </w:rPr>
              <w:t>PUBLIC TRANSPORTATION</w:t>
            </w:r>
          </w:p>
        </w:tc>
      </w:tr>
      <w:tr w:rsidR="00227F7F" w:rsidRPr="00517472" w14:paraId="48EA7C68" w14:textId="77777777" w:rsidTr="000B635D">
        <w:trPr>
          <w:tblHeader/>
        </w:trPr>
        <w:tc>
          <w:tcPr>
            <w:tcW w:w="1440" w:type="dxa"/>
          </w:tcPr>
          <w:p w14:paraId="4CD5DD08" w14:textId="2C9350ED" w:rsidR="00227F7F" w:rsidRPr="00073DD5" w:rsidRDefault="00227F7F" w:rsidP="008D5D59">
            <w:pPr>
              <w:tabs>
                <w:tab w:val="center" w:pos="6480"/>
              </w:tabs>
              <w:autoSpaceDE w:val="0"/>
              <w:autoSpaceDN w:val="0"/>
              <w:adjustRightInd w:val="0"/>
              <w:rPr>
                <w:rFonts w:cs="SAS Monospace"/>
                <w:b/>
                <w:sz w:val="20"/>
                <w:szCs w:val="20"/>
              </w:rPr>
            </w:pPr>
            <w:r>
              <w:rPr>
                <w:rFonts w:cstheme="minorHAnsi"/>
                <w:sz w:val="20"/>
                <w:szCs w:val="20"/>
              </w:rPr>
              <w:t>SBUS</w:t>
            </w:r>
          </w:p>
        </w:tc>
        <w:tc>
          <w:tcPr>
            <w:tcW w:w="6660" w:type="dxa"/>
          </w:tcPr>
          <w:p w14:paraId="438D5FA3" w14:textId="2A9456DC"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Euclidean distance to nearest bus route (meters).</w:t>
            </w:r>
          </w:p>
        </w:tc>
        <w:tc>
          <w:tcPr>
            <w:tcW w:w="2250" w:type="dxa"/>
          </w:tcPr>
          <w:p w14:paraId="219AC0FD" w14:textId="0759961C"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3A85B152" w14:textId="77777777" w:rsidTr="000B635D">
        <w:trPr>
          <w:tblHeader/>
        </w:trPr>
        <w:tc>
          <w:tcPr>
            <w:tcW w:w="1440" w:type="dxa"/>
          </w:tcPr>
          <w:p w14:paraId="6AD1EEA1" w14:textId="32398AC4"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lastRenderedPageBreak/>
              <w:t>STRN</w:t>
            </w:r>
          </w:p>
        </w:tc>
        <w:tc>
          <w:tcPr>
            <w:tcW w:w="6660" w:type="dxa"/>
          </w:tcPr>
          <w:p w14:paraId="12BC8071" w14:textId="648D47C9" w:rsidR="00227F7F" w:rsidRDefault="00227F7F" w:rsidP="008D5D59">
            <w:pPr>
              <w:tabs>
                <w:tab w:val="center" w:pos="6480"/>
              </w:tabs>
              <w:autoSpaceDE w:val="0"/>
              <w:autoSpaceDN w:val="0"/>
              <w:adjustRightInd w:val="0"/>
              <w:rPr>
                <w:rFonts w:cstheme="minorHAnsi"/>
                <w:sz w:val="20"/>
                <w:szCs w:val="20"/>
              </w:rPr>
            </w:pPr>
            <w:r>
              <w:rPr>
                <w:rFonts w:cstheme="minorHAnsi"/>
                <w:sz w:val="20"/>
                <w:szCs w:val="20"/>
              </w:rPr>
              <w:t>Euclidean distance to nearest train/subway stop (meters).</w:t>
            </w:r>
          </w:p>
        </w:tc>
        <w:tc>
          <w:tcPr>
            <w:tcW w:w="2250" w:type="dxa"/>
          </w:tcPr>
          <w:p w14:paraId="64981C61" w14:textId="12E06DD7" w:rsidR="00227F7F" w:rsidRPr="00474F7E" w:rsidRDefault="00474F7E" w:rsidP="008D5D59">
            <w:pPr>
              <w:tabs>
                <w:tab w:val="center" w:pos="6480"/>
              </w:tabs>
              <w:autoSpaceDE w:val="0"/>
              <w:autoSpaceDN w:val="0"/>
              <w:adjustRightInd w:val="0"/>
              <w:rPr>
                <w:rFonts w:cstheme="minorHAnsi"/>
                <w:b/>
                <w:sz w:val="20"/>
                <w:szCs w:val="20"/>
              </w:rPr>
            </w:pPr>
            <w:r w:rsidRPr="00474F7E">
              <w:rPr>
                <w:rFonts w:cstheme="minorHAnsi"/>
                <w:sz w:val="20"/>
                <w:szCs w:val="20"/>
              </w:rPr>
              <w:t>For contemporaneous exposure or change in exposure</w:t>
            </w:r>
          </w:p>
        </w:tc>
      </w:tr>
      <w:tr w:rsidR="00227F7F" w:rsidRPr="00517472" w14:paraId="76529C4C" w14:textId="77777777" w:rsidTr="000B635D">
        <w:trPr>
          <w:tblHeader/>
        </w:trPr>
        <w:tc>
          <w:tcPr>
            <w:tcW w:w="1440" w:type="dxa"/>
          </w:tcPr>
          <w:p w14:paraId="40E6273C" w14:textId="77777777" w:rsidR="00227F7F" w:rsidRDefault="00227F7F" w:rsidP="008D5D59">
            <w:pPr>
              <w:tabs>
                <w:tab w:val="center" w:pos="6480"/>
              </w:tabs>
              <w:autoSpaceDE w:val="0"/>
              <w:autoSpaceDN w:val="0"/>
              <w:adjustRightInd w:val="0"/>
              <w:rPr>
                <w:rFonts w:cstheme="minorHAnsi"/>
                <w:sz w:val="20"/>
                <w:szCs w:val="20"/>
              </w:rPr>
            </w:pPr>
          </w:p>
        </w:tc>
        <w:tc>
          <w:tcPr>
            <w:tcW w:w="6660" w:type="dxa"/>
          </w:tcPr>
          <w:p w14:paraId="587BF4A0" w14:textId="77777777" w:rsidR="00227F7F" w:rsidRDefault="00227F7F" w:rsidP="008D5D59">
            <w:pPr>
              <w:tabs>
                <w:tab w:val="center" w:pos="6480"/>
              </w:tabs>
              <w:autoSpaceDE w:val="0"/>
              <w:autoSpaceDN w:val="0"/>
              <w:adjustRightInd w:val="0"/>
              <w:rPr>
                <w:rFonts w:cstheme="minorHAnsi"/>
                <w:sz w:val="20"/>
                <w:szCs w:val="20"/>
              </w:rPr>
            </w:pPr>
          </w:p>
        </w:tc>
        <w:tc>
          <w:tcPr>
            <w:tcW w:w="2250" w:type="dxa"/>
          </w:tcPr>
          <w:p w14:paraId="26647113" w14:textId="77777777" w:rsidR="00227F7F" w:rsidRPr="00474F7E" w:rsidRDefault="00227F7F" w:rsidP="008D5D59">
            <w:pPr>
              <w:tabs>
                <w:tab w:val="center" w:pos="6480"/>
              </w:tabs>
              <w:autoSpaceDE w:val="0"/>
              <w:autoSpaceDN w:val="0"/>
              <w:adjustRightInd w:val="0"/>
              <w:rPr>
                <w:rFonts w:cstheme="minorHAnsi"/>
                <w:b/>
                <w:sz w:val="20"/>
                <w:szCs w:val="20"/>
              </w:rPr>
            </w:pPr>
          </w:p>
        </w:tc>
      </w:tr>
      <w:tr w:rsidR="006B514F" w:rsidRPr="00517472" w14:paraId="36C88373" w14:textId="77777777" w:rsidTr="00BB5508">
        <w:trPr>
          <w:tblHeader/>
        </w:trPr>
        <w:tc>
          <w:tcPr>
            <w:tcW w:w="10350" w:type="dxa"/>
            <w:gridSpan w:val="3"/>
          </w:tcPr>
          <w:p w14:paraId="5818497F" w14:textId="664B391A" w:rsidR="006B514F" w:rsidRPr="00474F7E" w:rsidRDefault="006B514F" w:rsidP="008D5D59">
            <w:pPr>
              <w:tabs>
                <w:tab w:val="center" w:pos="6480"/>
              </w:tabs>
              <w:autoSpaceDE w:val="0"/>
              <w:autoSpaceDN w:val="0"/>
              <w:adjustRightInd w:val="0"/>
              <w:rPr>
                <w:rFonts w:cstheme="minorHAnsi"/>
                <w:b/>
                <w:sz w:val="20"/>
                <w:szCs w:val="20"/>
              </w:rPr>
            </w:pPr>
            <w:r w:rsidRPr="00223126">
              <w:rPr>
                <w:rFonts w:cs="SAS Monospace"/>
                <w:b/>
                <w:sz w:val="20"/>
                <w:szCs w:val="20"/>
              </w:rPr>
              <w:t>BUILT ENVIRONMENT FACTOR SCORES</w:t>
            </w:r>
          </w:p>
        </w:tc>
      </w:tr>
      <w:tr w:rsidR="00E91BB8" w:rsidRPr="00517472" w14:paraId="2A37CD25" w14:textId="77777777" w:rsidTr="000B635D">
        <w:trPr>
          <w:tblHeader/>
        </w:trPr>
        <w:tc>
          <w:tcPr>
            <w:tcW w:w="1440" w:type="dxa"/>
          </w:tcPr>
          <w:p w14:paraId="480C3A14" w14:textId="437424B7" w:rsidR="00E91BB8" w:rsidRPr="00223126" w:rsidRDefault="00E91BB8" w:rsidP="008D5D59">
            <w:pPr>
              <w:tabs>
                <w:tab w:val="center" w:pos="6480"/>
              </w:tabs>
              <w:autoSpaceDE w:val="0"/>
              <w:autoSpaceDN w:val="0"/>
              <w:adjustRightInd w:val="0"/>
              <w:rPr>
                <w:rFonts w:cs="SAS Monospace"/>
                <w:b/>
                <w:sz w:val="20"/>
                <w:szCs w:val="20"/>
              </w:rPr>
            </w:pPr>
            <w:r>
              <w:rPr>
                <w:rFonts w:cstheme="minorHAnsi"/>
                <w:sz w:val="20"/>
                <w:szCs w:val="20"/>
              </w:rPr>
              <w:t>BES1_FACTOR1</w:t>
            </w:r>
          </w:p>
        </w:tc>
        <w:tc>
          <w:tcPr>
            <w:tcW w:w="6660" w:type="dxa"/>
          </w:tcPr>
          <w:p w14:paraId="181CDB4C" w14:textId="59B16AF4" w:rsidR="00E91BB8" w:rsidRDefault="00E91BB8" w:rsidP="008D5D59">
            <w:pPr>
              <w:tabs>
                <w:tab w:val="center" w:pos="6480"/>
              </w:tabs>
              <w:autoSpaceDE w:val="0"/>
              <w:autoSpaceDN w:val="0"/>
              <w:adjustRightInd w:val="0"/>
              <w:rPr>
                <w:rFonts w:cstheme="minorHAnsi"/>
                <w:sz w:val="20"/>
                <w:szCs w:val="20"/>
              </w:rPr>
            </w:pPr>
            <w:r>
              <w:rPr>
                <w:rFonts w:cstheme="minorHAnsi"/>
                <w:sz w:val="20"/>
                <w:szCs w:val="20"/>
              </w:rPr>
              <w:t>Built Environment Factor 1 – Intensity of development: 1 mile buffer. Calculated as: (0.88*simple density of Walking Destinations)+(0.87*Population density)+(-0.83*percent residential)</w:t>
            </w:r>
          </w:p>
        </w:tc>
        <w:tc>
          <w:tcPr>
            <w:tcW w:w="2250" w:type="dxa"/>
          </w:tcPr>
          <w:p w14:paraId="6EDA8A63" w14:textId="77777777" w:rsidR="00E91BB8" w:rsidRDefault="00474F7E" w:rsidP="008D5D59">
            <w:pPr>
              <w:tabs>
                <w:tab w:val="center" w:pos="6480"/>
              </w:tabs>
              <w:autoSpaceDE w:val="0"/>
              <w:autoSpaceDN w:val="0"/>
              <w:adjustRightInd w:val="0"/>
              <w:rPr>
                <w:rFonts w:cstheme="minorHAnsi"/>
                <w:sz w:val="20"/>
                <w:szCs w:val="20"/>
              </w:rPr>
            </w:pPr>
            <w:r w:rsidRPr="00474F7E">
              <w:rPr>
                <w:rFonts w:cstheme="minorHAnsi"/>
                <w:sz w:val="20"/>
                <w:szCs w:val="20"/>
              </w:rPr>
              <w:t>For contemporaneous exposure or change in exposure</w:t>
            </w:r>
            <w:r w:rsidR="006B514F">
              <w:rPr>
                <w:rFonts w:cstheme="minorHAnsi"/>
                <w:sz w:val="20"/>
                <w:szCs w:val="20"/>
              </w:rPr>
              <w:t>.</w:t>
            </w:r>
          </w:p>
          <w:p w14:paraId="2615B7C5" w14:textId="69CEC502" w:rsidR="006B514F" w:rsidRPr="00474F7E" w:rsidRDefault="006B514F" w:rsidP="008D5D59">
            <w:pPr>
              <w:tabs>
                <w:tab w:val="center" w:pos="6480"/>
              </w:tabs>
              <w:autoSpaceDE w:val="0"/>
              <w:autoSpaceDN w:val="0"/>
              <w:adjustRightInd w:val="0"/>
              <w:rPr>
                <w:rFonts w:cstheme="minorHAnsi"/>
                <w:b/>
                <w:sz w:val="20"/>
                <w:szCs w:val="20"/>
              </w:rPr>
            </w:pPr>
            <w:r>
              <w:rPr>
                <w:rFonts w:cstheme="minorHAnsi"/>
                <w:sz w:val="20"/>
                <w:szCs w:val="20"/>
              </w:rPr>
              <w:t>When want an overall summary measure of built environment</w:t>
            </w:r>
          </w:p>
        </w:tc>
      </w:tr>
      <w:tr w:rsidR="00E91BB8" w:rsidRPr="00517472" w14:paraId="415DBD63" w14:textId="77777777" w:rsidTr="000B635D">
        <w:trPr>
          <w:tblHeader/>
        </w:trPr>
        <w:tc>
          <w:tcPr>
            <w:tcW w:w="1440" w:type="dxa"/>
          </w:tcPr>
          <w:p w14:paraId="0D5A61F3" w14:textId="50FBE00A" w:rsidR="00E91BB8" w:rsidRDefault="00E91BB8" w:rsidP="008D5D59">
            <w:pPr>
              <w:tabs>
                <w:tab w:val="center" w:pos="6480"/>
              </w:tabs>
              <w:autoSpaceDE w:val="0"/>
              <w:autoSpaceDN w:val="0"/>
              <w:adjustRightInd w:val="0"/>
              <w:rPr>
                <w:rFonts w:cstheme="minorHAnsi"/>
                <w:sz w:val="20"/>
                <w:szCs w:val="20"/>
              </w:rPr>
            </w:pPr>
            <w:r>
              <w:rPr>
                <w:rFonts w:cstheme="minorHAnsi"/>
                <w:sz w:val="20"/>
                <w:szCs w:val="20"/>
              </w:rPr>
              <w:t>A_BES1_FACTOR1</w:t>
            </w:r>
          </w:p>
        </w:tc>
        <w:tc>
          <w:tcPr>
            <w:tcW w:w="6660" w:type="dxa"/>
          </w:tcPr>
          <w:p w14:paraId="5F6C6C96" w14:textId="703953AF" w:rsidR="00E91BB8" w:rsidRDefault="00E91BB8" w:rsidP="008D5D59">
            <w:pPr>
              <w:tabs>
                <w:tab w:val="center" w:pos="6480"/>
              </w:tabs>
              <w:autoSpaceDE w:val="0"/>
              <w:autoSpaceDN w:val="0"/>
              <w:adjustRightInd w:val="0"/>
              <w:rPr>
                <w:rFonts w:cstheme="minorHAnsi"/>
                <w:sz w:val="20"/>
                <w:szCs w:val="20"/>
              </w:rPr>
            </w:pPr>
            <w:r>
              <w:rPr>
                <w:rFonts w:cstheme="minorHAnsi"/>
                <w:sz w:val="20"/>
                <w:szCs w:val="20"/>
              </w:rPr>
              <w:t>Cumulative average of Built Environment Factor 1 – Intensity of development: 1 mile buffer. Calculated as: (0.88*simple density of Walking Destinations)+(0.87*Population density)+(-0.83*percent residential)</w:t>
            </w:r>
          </w:p>
        </w:tc>
        <w:tc>
          <w:tcPr>
            <w:tcW w:w="2250" w:type="dxa"/>
          </w:tcPr>
          <w:p w14:paraId="6EC0A230" w14:textId="77777777" w:rsidR="00E91BB8" w:rsidRDefault="00474F7E" w:rsidP="008D5D59">
            <w:pPr>
              <w:tabs>
                <w:tab w:val="center" w:pos="6480"/>
              </w:tabs>
              <w:autoSpaceDE w:val="0"/>
              <w:autoSpaceDN w:val="0"/>
              <w:adjustRightInd w:val="0"/>
              <w:rPr>
                <w:rFonts w:cstheme="minorHAnsi"/>
                <w:sz w:val="20"/>
                <w:szCs w:val="20"/>
              </w:rPr>
            </w:pPr>
            <w:r>
              <w:rPr>
                <w:rFonts w:cstheme="minorHAnsi"/>
                <w:sz w:val="20"/>
                <w:szCs w:val="20"/>
              </w:rPr>
              <w:t>For long-term exposure to environment</w:t>
            </w:r>
          </w:p>
          <w:p w14:paraId="5D8E9101" w14:textId="6F1AF84E" w:rsidR="006B514F" w:rsidRPr="00474F7E" w:rsidRDefault="006B514F" w:rsidP="008D5D59">
            <w:pPr>
              <w:tabs>
                <w:tab w:val="center" w:pos="6480"/>
              </w:tabs>
              <w:autoSpaceDE w:val="0"/>
              <w:autoSpaceDN w:val="0"/>
              <w:adjustRightInd w:val="0"/>
              <w:rPr>
                <w:rFonts w:cstheme="minorHAnsi"/>
                <w:b/>
                <w:sz w:val="20"/>
                <w:szCs w:val="20"/>
              </w:rPr>
            </w:pPr>
            <w:r>
              <w:rPr>
                <w:rFonts w:cstheme="minorHAnsi"/>
                <w:sz w:val="20"/>
                <w:szCs w:val="20"/>
              </w:rPr>
              <w:t>When want an overall summary measure of built environment</w:t>
            </w:r>
          </w:p>
        </w:tc>
      </w:tr>
      <w:tr w:rsidR="00E91BB8" w:rsidRPr="00517472" w14:paraId="6D939378" w14:textId="77777777" w:rsidTr="000B635D">
        <w:trPr>
          <w:tblHeader/>
        </w:trPr>
        <w:tc>
          <w:tcPr>
            <w:tcW w:w="1440" w:type="dxa"/>
          </w:tcPr>
          <w:p w14:paraId="50CFEEBA" w14:textId="083FCCF2" w:rsidR="00E91BB8" w:rsidRDefault="00E91BB8" w:rsidP="008D5D59">
            <w:pPr>
              <w:tabs>
                <w:tab w:val="center" w:pos="6480"/>
              </w:tabs>
              <w:autoSpaceDE w:val="0"/>
              <w:autoSpaceDN w:val="0"/>
              <w:adjustRightInd w:val="0"/>
              <w:rPr>
                <w:rFonts w:cstheme="minorHAnsi"/>
                <w:sz w:val="20"/>
                <w:szCs w:val="20"/>
              </w:rPr>
            </w:pPr>
            <w:r>
              <w:rPr>
                <w:rFonts w:cstheme="minorHAnsi"/>
                <w:sz w:val="20"/>
                <w:szCs w:val="20"/>
              </w:rPr>
              <w:t>BES1_FACTOR1ip</w:t>
            </w:r>
          </w:p>
        </w:tc>
        <w:tc>
          <w:tcPr>
            <w:tcW w:w="6660" w:type="dxa"/>
          </w:tcPr>
          <w:p w14:paraId="54062C90" w14:textId="12A61125" w:rsidR="00E91BB8" w:rsidRDefault="00E91BB8" w:rsidP="008D5D59">
            <w:pPr>
              <w:tabs>
                <w:tab w:val="center" w:pos="6480"/>
              </w:tabs>
              <w:autoSpaceDE w:val="0"/>
              <w:autoSpaceDN w:val="0"/>
              <w:adjustRightInd w:val="0"/>
              <w:rPr>
                <w:rFonts w:cstheme="minorHAnsi"/>
                <w:sz w:val="20"/>
                <w:szCs w:val="20"/>
              </w:rPr>
            </w:pPr>
            <w:r>
              <w:rPr>
                <w:rFonts w:cstheme="minorHAnsi"/>
                <w:sz w:val="20"/>
                <w:szCs w:val="20"/>
              </w:rPr>
              <w:t>Interpolated Built Environment Factor 1 – Intensity of development: 1 mile buffer. Calculated as: (0.88*simple density of Walking Destinations)+(0.87*Population density)+(-0.83*percent residential)</w:t>
            </w:r>
          </w:p>
        </w:tc>
        <w:tc>
          <w:tcPr>
            <w:tcW w:w="2250" w:type="dxa"/>
          </w:tcPr>
          <w:p w14:paraId="78B4C5B0" w14:textId="77777777" w:rsidR="00E91BB8" w:rsidRDefault="006B514F" w:rsidP="008D5D59">
            <w:pPr>
              <w:tabs>
                <w:tab w:val="center" w:pos="6480"/>
              </w:tabs>
              <w:autoSpaceDE w:val="0"/>
              <w:autoSpaceDN w:val="0"/>
              <w:adjustRightInd w:val="0"/>
              <w:rPr>
                <w:rFonts w:cstheme="minorHAnsi"/>
                <w:sz w:val="20"/>
                <w:szCs w:val="20"/>
              </w:rPr>
            </w:pPr>
            <w:r w:rsidRPr="006B514F">
              <w:rPr>
                <w:rFonts w:cstheme="minorHAnsi"/>
                <w:sz w:val="20"/>
                <w:szCs w:val="20"/>
              </w:rPr>
              <w:t>Offers more variability over time.</w:t>
            </w:r>
          </w:p>
          <w:p w14:paraId="0BE865BC" w14:textId="4A10ECCB" w:rsidR="006B514F" w:rsidRPr="00474F7E" w:rsidRDefault="006B514F" w:rsidP="008D5D59">
            <w:pPr>
              <w:tabs>
                <w:tab w:val="center" w:pos="6480"/>
              </w:tabs>
              <w:autoSpaceDE w:val="0"/>
              <w:autoSpaceDN w:val="0"/>
              <w:adjustRightInd w:val="0"/>
              <w:rPr>
                <w:rFonts w:cstheme="minorHAnsi"/>
                <w:sz w:val="20"/>
                <w:szCs w:val="20"/>
              </w:rPr>
            </w:pPr>
            <w:r>
              <w:rPr>
                <w:rFonts w:cstheme="minorHAnsi"/>
                <w:sz w:val="20"/>
                <w:szCs w:val="20"/>
              </w:rPr>
              <w:t>When want an overall summary measure of built environment</w:t>
            </w:r>
          </w:p>
        </w:tc>
      </w:tr>
    </w:tbl>
    <w:p w14:paraId="146EA68D" w14:textId="77777777" w:rsidR="00D42079" w:rsidRDefault="00D42079" w:rsidP="00D42079">
      <w:pPr>
        <w:pStyle w:val="Heading1"/>
      </w:pPr>
      <w:r w:rsidRPr="003F7B2B">
        <w:t>Example Methodology Section for Manuscripts:</w:t>
      </w:r>
    </w:p>
    <w:p w14:paraId="05C99DF7" w14:textId="74806225" w:rsidR="00424D45" w:rsidRPr="00CF5625" w:rsidRDefault="00424D45" w:rsidP="00424D45">
      <w:pPr>
        <w:rPr>
          <w:rFonts w:cs="SAS Monospace"/>
          <w:b/>
        </w:rPr>
      </w:pPr>
      <w:r w:rsidRPr="00CF5625">
        <w:rPr>
          <w:rFonts w:cs="SAS Monospace"/>
          <w:b/>
        </w:rPr>
        <w:t>FOOD STORES</w:t>
      </w:r>
    </w:p>
    <w:p w14:paraId="5D01A86B" w14:textId="4F40BE90" w:rsidR="00E03DBD" w:rsidRPr="00CF5625" w:rsidRDefault="0041506B" w:rsidP="00E03DBD">
      <w:pPr>
        <w:autoSpaceDE w:val="0"/>
        <w:autoSpaceDN w:val="0"/>
        <w:adjustRightInd w:val="0"/>
        <w:spacing w:after="0" w:line="240" w:lineRule="auto"/>
        <w:rPr>
          <w:rFonts w:eastAsia="GuardianTextEgypGR-Regular" w:cs="GuardianTextEgypGR-Regular"/>
        </w:rPr>
      </w:pPr>
      <w:r w:rsidRPr="00CF5625">
        <w:rPr>
          <w:rFonts w:cs="AdvP49811"/>
        </w:rPr>
        <w:t xml:space="preserve">Based on prior work (Auchincloss 2012), </w:t>
      </w:r>
      <w:r w:rsidR="00823987">
        <w:rPr>
          <w:rFonts w:cs="Times-Roman"/>
        </w:rPr>
        <w:t>favorable food stores were defined as</w:t>
      </w:r>
      <w:r w:rsidRPr="00CF5625">
        <w:rPr>
          <w:rFonts w:cs="Times-Roman"/>
        </w:rPr>
        <w:t xml:space="preserve"> chain and non</w:t>
      </w:r>
      <w:r w:rsidR="00E03DBD" w:rsidRPr="00CF5625">
        <w:rPr>
          <w:rFonts w:cs="Times-Roman"/>
        </w:rPr>
        <w:t>-</w:t>
      </w:r>
      <w:r w:rsidRPr="00CF5625">
        <w:rPr>
          <w:rFonts w:cs="Times-Roman"/>
        </w:rPr>
        <w:t>chain supermarkets and fruit and vegetable markets identified using National Establishment Time Series data from Walls and Associates</w:t>
      </w:r>
      <w:r w:rsidR="003A4F55" w:rsidRPr="00CF5625">
        <w:rPr>
          <w:rFonts w:cs="AdvP49811"/>
        </w:rPr>
        <w:t xml:space="preserve"> (Walls 2010). </w:t>
      </w:r>
      <w:r w:rsidRPr="00CF5625">
        <w:rPr>
          <w:rFonts w:cs="Times-Roman"/>
        </w:rPr>
        <w:t xml:space="preserve">A total of 15 Standardized Industrial Codes were used to identify supermarkets and fruit and vegetable markets. </w:t>
      </w:r>
      <w:r w:rsidRPr="00CF5625">
        <w:rPr>
          <w:rFonts w:cs="AdvP49811"/>
        </w:rPr>
        <w:t xml:space="preserve">Supermarkets were defined as grocery stores </w:t>
      </w:r>
      <w:r w:rsidR="00B84389" w:rsidRPr="00CF5625">
        <w:rPr>
          <w:rFonts w:cs="AdvP49811"/>
        </w:rPr>
        <w:t xml:space="preserve"> (</w:t>
      </w:r>
      <w:r w:rsidR="00B84389" w:rsidRPr="00CF5625">
        <w:rPr>
          <w:rFonts w:cs="AdvTTb20e5d60"/>
        </w:rPr>
        <w:t xml:space="preserve">SIC #5411) </w:t>
      </w:r>
      <w:r w:rsidRPr="00CF5625">
        <w:rPr>
          <w:rFonts w:cs="AdvP49811"/>
        </w:rPr>
        <w:t xml:space="preserve">with at least </w:t>
      </w:r>
      <w:r w:rsidRPr="00CF5625">
        <w:rPr>
          <w:rFonts w:cs="AdvP405B6"/>
        </w:rPr>
        <w:t>$</w:t>
      </w:r>
      <w:r w:rsidRPr="00CF5625">
        <w:rPr>
          <w:rFonts w:cs="AdvP49811"/>
        </w:rPr>
        <w:t>2 million in annual sales or at least 25 employees</w:t>
      </w:r>
      <w:r w:rsidR="00520794" w:rsidRPr="00CF5625">
        <w:rPr>
          <w:rFonts w:cs="AdvP49811"/>
        </w:rPr>
        <w:t xml:space="preserve"> and augmented using supermarket store name lists as described elsewhere (Auchincloss 2012)</w:t>
      </w:r>
      <w:r w:rsidRPr="00CF5625">
        <w:rPr>
          <w:rFonts w:cs="AdvP49811"/>
        </w:rPr>
        <w:t xml:space="preserve">. </w:t>
      </w:r>
      <w:r w:rsidRPr="00CF5625">
        <w:rPr>
          <w:rFonts w:cs="Times-Roman"/>
        </w:rPr>
        <w:t>These data were enhanced by adding supermarket data from the Nielsen TDLinx Service Supermarket Retail Category Database</w:t>
      </w:r>
      <w:r w:rsidRPr="00CF5625">
        <w:rPr>
          <w:rFonts w:cs="AdvP49811"/>
        </w:rPr>
        <w:t xml:space="preserve"> </w:t>
      </w:r>
      <w:r w:rsidR="003A4F55" w:rsidRPr="00CF5625">
        <w:rPr>
          <w:rFonts w:cs="AdvP49811"/>
        </w:rPr>
        <w:t xml:space="preserve">(Nielsen 2008). </w:t>
      </w:r>
      <w:r w:rsidR="00520794" w:rsidRPr="00CF5625">
        <w:rPr>
          <w:rFonts w:cs="AdvP49811"/>
        </w:rPr>
        <w:t>F</w:t>
      </w:r>
      <w:r w:rsidR="00520794" w:rsidRPr="00CF5625">
        <w:rPr>
          <w:rFonts w:cs="AdvOT863180fb"/>
        </w:rPr>
        <w:t xml:space="preserve">ruit and vegetable markets where defined as businesses with SIC code #5431. </w:t>
      </w:r>
      <w:r w:rsidR="00823987" w:rsidRPr="00CF5625">
        <w:t>Fast food chains were defined as restaurants listed in the 75 top revenue fast food restaurants in the top 400 Chain Restaurants ranking in Restaurants and Institutions magazine in 2005 (Hume 2005). Fast food chains specialize in quick food preparation, have no table service, and exclude coffee, donut, and ice cream shops. Fast food non-chains are de</w:t>
      </w:r>
      <w:r w:rsidR="00823987" w:rsidRPr="00CF5625">
        <w:rPr>
          <w:rFonts w:cs="FKHDD B+ Adv O T 863180fb+fb"/>
        </w:rPr>
        <w:t>fi</w:t>
      </w:r>
      <w:r w:rsidR="00823987" w:rsidRPr="00CF5625">
        <w:t>ned equivalently but are those fast food restaurants not on the aforementioned list.</w:t>
      </w:r>
      <w:r w:rsidR="00823987" w:rsidRPr="00CF5625">
        <w:rPr>
          <w:rFonts w:eastAsia="GuardianTextEgypGR-Regular" w:cs="GuardianTextEgypGR-Regular"/>
        </w:rPr>
        <w:t xml:space="preserve"> </w:t>
      </w:r>
      <w:r w:rsidRPr="00CF5625">
        <w:rPr>
          <w:rFonts w:cs="Times-Roman"/>
        </w:rPr>
        <w:t xml:space="preserve">Data corresponding to the year that the individual MESA participants’ exam dates were used. For each MESA participant, the density of food stores was defined as the number of food stores within a 1-mile radius around their primary residential address using </w:t>
      </w:r>
      <w:r w:rsidRPr="00CF5625">
        <w:rPr>
          <w:rFonts w:cs="AdvP49811"/>
        </w:rPr>
        <w:t>the point density command in ArcGIS 9.3</w:t>
      </w:r>
      <w:r w:rsidR="00B84389" w:rsidRPr="00CF5625">
        <w:rPr>
          <w:rFonts w:cs="AdvP49811"/>
        </w:rPr>
        <w:t xml:space="preserve"> (ESRI 2011)</w:t>
      </w:r>
      <w:r w:rsidRPr="00CF5625">
        <w:rPr>
          <w:rFonts w:cs="Times-Roman"/>
        </w:rPr>
        <w:t>. Data are presented as businesses per square mile.</w:t>
      </w:r>
      <w:r w:rsidR="00E03DBD" w:rsidRPr="00CF5625">
        <w:rPr>
          <w:rFonts w:cs="Times-Roman"/>
        </w:rPr>
        <w:t xml:space="preserve"> </w:t>
      </w:r>
      <w:r w:rsidR="00520794" w:rsidRPr="00CF5625">
        <w:rPr>
          <w:rFonts w:cs="AdvOT863180fb"/>
        </w:rPr>
        <w:t>Kernel estimation (Silverman 1986) was u</w:t>
      </w:r>
      <w:r w:rsidR="00823987">
        <w:rPr>
          <w:rFonts w:cs="AdvOT863180fb"/>
        </w:rPr>
        <w:t>sed to calculate the densities</w:t>
      </w:r>
      <w:r w:rsidR="00520794" w:rsidRPr="00CF5625">
        <w:rPr>
          <w:rFonts w:cs="AdvOT863180fb"/>
        </w:rPr>
        <w:t>, such that healthy food stores and recreational facilities closer to participants</w:t>
      </w:r>
      <w:r w:rsidR="00520794" w:rsidRPr="00CF5625">
        <w:rPr>
          <w:rFonts w:cs="AdvOT863180fb+20"/>
        </w:rPr>
        <w:t xml:space="preserve">’ </w:t>
      </w:r>
      <w:r w:rsidR="00520794" w:rsidRPr="00CF5625">
        <w:rPr>
          <w:rFonts w:cs="AdvOT863180fb"/>
        </w:rPr>
        <w:t xml:space="preserve">addresses were given more weight than facilities farther away. </w:t>
      </w:r>
      <w:r w:rsidR="00E03DBD" w:rsidRPr="00CF5625">
        <w:rPr>
          <w:rFonts w:eastAsia="GuardianTextEgypGR-Regular" w:cs="GuardianTextEgypGR-Regular"/>
        </w:rPr>
        <w:t>One-mile densities were chosen as proxies for neighborhoods based on an area in which most individuals could reasonably walk and on federal government definitions of access to services (Ver Ploeg 2009).</w:t>
      </w:r>
    </w:p>
    <w:p w14:paraId="3F67B5ED" w14:textId="77777777" w:rsidR="00CB0A8E" w:rsidRPr="00CF5625" w:rsidRDefault="00CB0A8E" w:rsidP="00E03DBD">
      <w:pPr>
        <w:autoSpaceDE w:val="0"/>
        <w:autoSpaceDN w:val="0"/>
        <w:adjustRightInd w:val="0"/>
        <w:spacing w:after="0" w:line="240" w:lineRule="auto"/>
        <w:rPr>
          <w:rFonts w:eastAsia="GuardianTextEgypGR-Regular" w:cs="GuardianTextEgypGR-Regular"/>
        </w:rPr>
      </w:pPr>
    </w:p>
    <w:p w14:paraId="27006EE1" w14:textId="77777777" w:rsidR="0041506B" w:rsidRPr="00CF5625" w:rsidRDefault="0041506B" w:rsidP="0041506B">
      <w:pPr>
        <w:autoSpaceDE w:val="0"/>
        <w:autoSpaceDN w:val="0"/>
        <w:adjustRightInd w:val="0"/>
        <w:spacing w:after="0" w:line="240" w:lineRule="auto"/>
        <w:rPr>
          <w:rFonts w:cs="Times-Roman"/>
        </w:rPr>
      </w:pPr>
      <w:r w:rsidRPr="00CF5625">
        <w:rPr>
          <w:rFonts w:cs="Times-Roman"/>
        </w:rPr>
        <w:lastRenderedPageBreak/>
        <w:t xml:space="preserve">Auchincloss AH, Moore KA, Moore LV, Diez Roux AV. Improving retrospective characterization of the food environment for a large region in the United States during a historic time period. </w:t>
      </w:r>
      <w:r w:rsidRPr="00CF5625">
        <w:rPr>
          <w:rFonts w:cs="Times-Italic"/>
          <w:i/>
          <w:iCs/>
        </w:rPr>
        <w:t>Health Place</w:t>
      </w:r>
      <w:r w:rsidRPr="00CF5625">
        <w:rPr>
          <w:rFonts w:cs="Times-Roman"/>
        </w:rPr>
        <w:t>. 2012;18:1341–1347.</w:t>
      </w:r>
    </w:p>
    <w:p w14:paraId="56AA6F00" w14:textId="77777777" w:rsidR="0041506B" w:rsidRPr="00CF5625" w:rsidRDefault="0041506B" w:rsidP="003A4F55">
      <w:pPr>
        <w:autoSpaceDE w:val="0"/>
        <w:autoSpaceDN w:val="0"/>
        <w:adjustRightInd w:val="0"/>
        <w:spacing w:after="0" w:line="240" w:lineRule="auto"/>
        <w:rPr>
          <w:rFonts w:cs="AdvP49811"/>
        </w:rPr>
      </w:pPr>
    </w:p>
    <w:p w14:paraId="0208BBB1" w14:textId="0C81E5F6" w:rsidR="003A4F55" w:rsidRPr="00CF5625" w:rsidRDefault="003A4F55" w:rsidP="003A4F55">
      <w:pPr>
        <w:autoSpaceDE w:val="0"/>
        <w:autoSpaceDN w:val="0"/>
        <w:adjustRightInd w:val="0"/>
        <w:spacing w:after="0" w:line="240" w:lineRule="auto"/>
        <w:rPr>
          <w:rFonts w:cs="AdvP49811"/>
        </w:rPr>
      </w:pPr>
      <w:r w:rsidRPr="00CF5625">
        <w:rPr>
          <w:rFonts w:cs="AdvP49811"/>
        </w:rPr>
        <w:t xml:space="preserve">Walls and Associates (2010) National Establishment Time-Series (NETS) Database: Database Description. Available: </w:t>
      </w:r>
      <w:hyperlink r:id="rId8" w:history="1">
        <w:r w:rsidRPr="00CF5625">
          <w:rPr>
            <w:rStyle w:val="Hyperlink"/>
            <w:rFonts w:cs="AdvP49811"/>
            <w:color w:val="auto"/>
          </w:rPr>
          <w:t>http://youreconomy.org/pages/walls.lasso</w:t>
        </w:r>
      </w:hyperlink>
      <w:r w:rsidRPr="00CF5625">
        <w:rPr>
          <w:rFonts w:cs="AdvP49811"/>
        </w:rPr>
        <w:t xml:space="preserve">. </w:t>
      </w:r>
      <w:r w:rsidR="0020775E" w:rsidRPr="00CF5625">
        <w:rPr>
          <w:rFonts w:cs="GkbvftAdvTTf1279dcd"/>
        </w:rPr>
        <w:t xml:space="preserve">Accessed </w:t>
      </w:r>
      <w:r w:rsidR="00660277" w:rsidRPr="00CF5625">
        <w:rPr>
          <w:rFonts w:cs="NewsGothic"/>
        </w:rPr>
        <w:t>July 23, 2013</w:t>
      </w:r>
      <w:r w:rsidRPr="00CF5625">
        <w:rPr>
          <w:rFonts w:cs="AdvP49811"/>
        </w:rPr>
        <w:t>.</w:t>
      </w:r>
    </w:p>
    <w:p w14:paraId="241536A4" w14:textId="77777777" w:rsidR="003A4F55" w:rsidRPr="00CF5625" w:rsidRDefault="003A4F55" w:rsidP="003A4F55">
      <w:pPr>
        <w:autoSpaceDE w:val="0"/>
        <w:autoSpaceDN w:val="0"/>
        <w:adjustRightInd w:val="0"/>
        <w:spacing w:after="0" w:line="240" w:lineRule="auto"/>
        <w:rPr>
          <w:rFonts w:cs="AdvP49811"/>
        </w:rPr>
      </w:pPr>
    </w:p>
    <w:p w14:paraId="5CDDF40A" w14:textId="77777777" w:rsidR="003A4F55" w:rsidRPr="00CF5625" w:rsidRDefault="003A4F55" w:rsidP="003A4F55">
      <w:pPr>
        <w:autoSpaceDE w:val="0"/>
        <w:autoSpaceDN w:val="0"/>
        <w:adjustRightInd w:val="0"/>
        <w:spacing w:after="0" w:line="240" w:lineRule="auto"/>
        <w:rPr>
          <w:rFonts w:cs="AdvP49811"/>
        </w:rPr>
      </w:pPr>
      <w:r w:rsidRPr="00CF5625">
        <w:rPr>
          <w:rFonts w:cs="AdvP49811"/>
        </w:rPr>
        <w:t>Nielsen Company (2008) Retail Site Database, The Ultimate Source.: Trade Dimensions, a subsidiary of Nielsen Company.</w:t>
      </w:r>
    </w:p>
    <w:p w14:paraId="4E6AF5E9" w14:textId="77777777" w:rsidR="00E03DBD" w:rsidRPr="00CF5625" w:rsidRDefault="00E03DBD" w:rsidP="00E03DBD">
      <w:pPr>
        <w:autoSpaceDE w:val="0"/>
        <w:autoSpaceDN w:val="0"/>
        <w:adjustRightInd w:val="0"/>
        <w:spacing w:after="0" w:line="240" w:lineRule="auto"/>
        <w:rPr>
          <w:rFonts w:cs="GuardianSansGR-Regular"/>
        </w:rPr>
      </w:pPr>
    </w:p>
    <w:p w14:paraId="4C200005" w14:textId="77777777" w:rsidR="00B95668" w:rsidRPr="00CF5625" w:rsidRDefault="00B95668" w:rsidP="00B95668">
      <w:pPr>
        <w:rPr>
          <w:rFonts w:eastAsia="FKJJD L+ Adv T T 2876772e+ 23"/>
        </w:rPr>
      </w:pPr>
      <w:r w:rsidRPr="00CF5625">
        <w:t xml:space="preserve">Hume, S.,2005.Top400ChainRestaurants.RestaurantsandInstitutions </w:t>
      </w:r>
      <w:r w:rsidRPr="00CF5625">
        <w:rPr>
          <w:rFonts w:ascii="Cambria Math" w:eastAsia="FKJJD L+ Adv T T 2876772e+ 23" w:hAnsi="Cambria Math" w:cs="Cambria Math"/>
        </w:rPr>
        <w:t>〈</w:t>
      </w:r>
      <w:r w:rsidRPr="00CF5625">
        <w:rPr>
          <w:rFonts w:eastAsia="FKJJD L+ Adv T T 2876772e+ 23"/>
        </w:rPr>
        <w:t>http:// www.rimag.com</w:t>
      </w:r>
      <w:r w:rsidRPr="00CF5625">
        <w:rPr>
          <w:rFonts w:ascii="Cambria Math" w:eastAsia="FKJJD L+ Adv T T 2876772e+ 23" w:hAnsi="Cambria Math" w:cs="Cambria Math"/>
        </w:rPr>
        <w:t>〉</w:t>
      </w:r>
      <w:r w:rsidRPr="00CF5625">
        <w:rPr>
          <w:rFonts w:eastAsia="FKJJD L+ Adv T T 2876772e+ 23"/>
        </w:rPr>
        <w:t>. Online(accessed2005).</w:t>
      </w:r>
    </w:p>
    <w:p w14:paraId="718A5702" w14:textId="77777777" w:rsidR="00B84389" w:rsidRPr="00CF5625" w:rsidRDefault="00B84389" w:rsidP="00B84389">
      <w:pPr>
        <w:autoSpaceDE w:val="0"/>
        <w:autoSpaceDN w:val="0"/>
        <w:adjustRightInd w:val="0"/>
        <w:spacing w:after="0" w:line="240" w:lineRule="auto"/>
        <w:rPr>
          <w:rFonts w:cs="AdvOT0231c847"/>
        </w:rPr>
      </w:pPr>
      <w:r w:rsidRPr="00CF5625">
        <w:rPr>
          <w:rFonts w:cs="AdvOT0231c847"/>
        </w:rPr>
        <w:t xml:space="preserve">Environmental Systems Research Institute. </w:t>
      </w:r>
      <w:r w:rsidRPr="00CF5625">
        <w:rPr>
          <w:rFonts w:cs="AdvOTbe4cb9cb"/>
        </w:rPr>
        <w:t>ArcGIS Desktop Release 9.3</w:t>
      </w:r>
      <w:r w:rsidRPr="00CF5625">
        <w:rPr>
          <w:rFonts w:cs="AdvOT0231c847"/>
        </w:rPr>
        <w:t>. Redlands, CA: Environmental Systems Research Institute, 2011.</w:t>
      </w:r>
    </w:p>
    <w:p w14:paraId="452D2FAA" w14:textId="77777777" w:rsidR="00B84389" w:rsidRPr="00CF5625" w:rsidRDefault="00B84389" w:rsidP="00E03DBD">
      <w:pPr>
        <w:autoSpaceDE w:val="0"/>
        <w:autoSpaceDN w:val="0"/>
        <w:adjustRightInd w:val="0"/>
        <w:spacing w:after="0" w:line="240" w:lineRule="auto"/>
        <w:rPr>
          <w:rFonts w:cs="GuardianSansGR-Regular"/>
        </w:rPr>
      </w:pPr>
    </w:p>
    <w:p w14:paraId="6D46C54A" w14:textId="02F1EA86" w:rsidR="00520794" w:rsidRPr="00CF5625" w:rsidRDefault="00601FAF" w:rsidP="00520794">
      <w:pPr>
        <w:autoSpaceDE w:val="0"/>
        <w:autoSpaceDN w:val="0"/>
        <w:adjustRightInd w:val="0"/>
        <w:spacing w:after="0" w:line="240" w:lineRule="auto"/>
        <w:rPr>
          <w:rFonts w:cs="AdvOT863180fb"/>
        </w:rPr>
      </w:pPr>
      <w:r w:rsidRPr="00CF5625">
        <w:rPr>
          <w:rFonts w:cs="AdvOT863180fb"/>
        </w:rPr>
        <w:t>Silverman BW. Density Estimation for Statistics and Data Analysis. London, United Kingdom: Chapman &amp; Hall/CRC; 1986.</w:t>
      </w:r>
    </w:p>
    <w:p w14:paraId="4F0B90B5" w14:textId="77777777" w:rsidR="00520794" w:rsidRPr="00CF5625" w:rsidRDefault="00520794" w:rsidP="00E03DBD">
      <w:pPr>
        <w:autoSpaceDE w:val="0"/>
        <w:autoSpaceDN w:val="0"/>
        <w:adjustRightInd w:val="0"/>
        <w:spacing w:after="0" w:line="240" w:lineRule="auto"/>
        <w:rPr>
          <w:rFonts w:cs="GuardianSansGR-Regular"/>
        </w:rPr>
      </w:pPr>
    </w:p>
    <w:p w14:paraId="19305EF6" w14:textId="7B4BE050" w:rsidR="00E03DBD" w:rsidRPr="00CF5625" w:rsidRDefault="00E03DBD" w:rsidP="00E03DBD">
      <w:pPr>
        <w:autoSpaceDE w:val="0"/>
        <w:autoSpaceDN w:val="0"/>
        <w:adjustRightInd w:val="0"/>
        <w:spacing w:after="0" w:line="240" w:lineRule="auto"/>
        <w:rPr>
          <w:rFonts w:cs="GuardianSansGR-Regular"/>
        </w:rPr>
      </w:pPr>
      <w:r w:rsidRPr="00CF5625">
        <w:rPr>
          <w:rFonts w:cs="GuardianSansGR-Regular"/>
        </w:rPr>
        <w:t xml:space="preserve">Ver PLoeg M, Bereneman V, Farrigan T, et al. </w:t>
      </w:r>
      <w:r w:rsidRPr="00CF5625">
        <w:rPr>
          <w:rFonts w:cs="GuardianSans-RegularIt"/>
          <w:i/>
          <w:iCs/>
        </w:rPr>
        <w:t>Access to Affordable and Nutritious Food: Measuring and Understanding Food Deserts and Their Consequences: Report to Congress.</w:t>
      </w:r>
      <w:r w:rsidRPr="00CF5625">
        <w:rPr>
          <w:rFonts w:cs="GuardianSansGR-Regular"/>
        </w:rPr>
        <w:t>Washington, DC: United States Department of Agriculture; 2009.</w:t>
      </w:r>
    </w:p>
    <w:p w14:paraId="6FB7B172" w14:textId="77777777" w:rsidR="00E03DBD" w:rsidRPr="00CF5625" w:rsidRDefault="00E03DBD" w:rsidP="00424D45">
      <w:pPr>
        <w:rPr>
          <w:rFonts w:cs="SAS Monospace"/>
          <w:b/>
        </w:rPr>
      </w:pPr>
    </w:p>
    <w:p w14:paraId="58DEC0A1" w14:textId="77777777" w:rsidR="00CB0A8E" w:rsidRPr="00CF5625" w:rsidRDefault="00CB0A8E" w:rsidP="00CB0A8E">
      <w:pPr>
        <w:autoSpaceDE w:val="0"/>
        <w:autoSpaceDN w:val="0"/>
        <w:adjustRightInd w:val="0"/>
        <w:spacing w:after="0" w:line="240" w:lineRule="auto"/>
        <w:rPr>
          <w:rFonts w:cs="TimesLTStd-Roman"/>
        </w:rPr>
      </w:pPr>
    </w:p>
    <w:p w14:paraId="0DFEBD79" w14:textId="1960A19A" w:rsidR="007024FB" w:rsidRPr="00CF5625" w:rsidRDefault="007024FB" w:rsidP="007024FB">
      <w:pPr>
        <w:autoSpaceDE w:val="0"/>
        <w:autoSpaceDN w:val="0"/>
        <w:adjustRightInd w:val="0"/>
        <w:spacing w:after="0" w:line="240" w:lineRule="auto"/>
        <w:rPr>
          <w:rFonts w:cs="AdvOT863180fb"/>
        </w:rPr>
      </w:pPr>
      <w:r w:rsidRPr="00CF5625">
        <w:rPr>
          <w:rFonts w:cs="AdvOT863180fb"/>
        </w:rPr>
        <w:t>Information on alcohol outlets was obtained from the National Establishment Time Series (NETS) data from Walls and Associates (Walls 2010) using Standard Industrial Classi</w:t>
      </w:r>
      <w:r w:rsidRPr="00CF5625">
        <w:rPr>
          <w:rFonts w:cs="AdvOT863180fb+fb"/>
        </w:rPr>
        <w:t>fi</w:t>
      </w:r>
      <w:r w:rsidRPr="00CF5625">
        <w:rPr>
          <w:rFonts w:cs="AdvOT863180fb"/>
        </w:rPr>
        <w:t xml:space="preserve">cation (SIC) codes to identify liquor stores and on-site drinking places (restaurants and bars). </w:t>
      </w:r>
      <w:r w:rsidR="00892266" w:rsidRPr="00CF5625">
        <w:rPr>
          <w:rFonts w:cs="TimesLTStd-Roman"/>
        </w:rPr>
        <w:t>SIC codes for grocery stores were not included due to large variation in alcohol-sale laws.</w:t>
      </w:r>
      <w:r w:rsidR="00892266" w:rsidRPr="00CF5625">
        <w:rPr>
          <w:rFonts w:cs="AdvOT863180fb"/>
        </w:rPr>
        <w:t xml:space="preserve"> </w:t>
      </w:r>
      <w:r w:rsidRPr="00CF5625">
        <w:rPr>
          <w:rFonts w:cs="AdvOT863180fb"/>
        </w:rPr>
        <w:t xml:space="preserve">Alcohol outlet densities were created for 1 mile buffers around participants' homes for liquor stores and on-site drinking places separately. </w:t>
      </w:r>
      <w:r w:rsidR="00892266" w:rsidRPr="00CF5625">
        <w:rPr>
          <w:rFonts w:cs="TimesLTStd-Roman"/>
        </w:rPr>
        <w:t>Alcohol outlet density was also operationalized as a total outlet density score by standardizing liquor store density and drinking place density and then summing the scores. A</w:t>
      </w:r>
      <w:r w:rsidRPr="00CF5625">
        <w:rPr>
          <w:rFonts w:cs="AdvOT863180fb"/>
        </w:rPr>
        <w:t xml:space="preserve"> one mile buffer Silverman kernel (ArcGIS kernel density function) (Silverman, 1986) was used in this analysis, as it has been found to result in the largest effect sizes in other studies (Schonlau  2008; Scribner 2000), and is a reasonable walking and driving distance. Kernel densities, unlike simple densities, assign greater weight to alcohol outlets that are closer to participants' homes (Silverman, 1986). Densities were created for liquor stores and on-site drinking places each year from 2000 to 2010, and were linked to the corresponding year of individual MESA data.</w:t>
      </w:r>
    </w:p>
    <w:p w14:paraId="00B78987" w14:textId="77777777" w:rsidR="007024FB" w:rsidRPr="00CF5625" w:rsidRDefault="007024FB" w:rsidP="007024FB">
      <w:pPr>
        <w:autoSpaceDE w:val="0"/>
        <w:autoSpaceDN w:val="0"/>
        <w:adjustRightInd w:val="0"/>
        <w:spacing w:after="0" w:line="240" w:lineRule="auto"/>
        <w:rPr>
          <w:rFonts w:cs="TimesLTStd-Roman"/>
        </w:rPr>
      </w:pPr>
    </w:p>
    <w:p w14:paraId="66045934" w14:textId="6FECF1B0" w:rsidR="007024FB" w:rsidRPr="00CF5625" w:rsidRDefault="007024FB" w:rsidP="007024FB">
      <w:pPr>
        <w:autoSpaceDE w:val="0"/>
        <w:autoSpaceDN w:val="0"/>
        <w:adjustRightInd w:val="0"/>
        <w:spacing w:after="0" w:line="240" w:lineRule="auto"/>
        <w:rPr>
          <w:rFonts w:cs="AdvP49811"/>
        </w:rPr>
      </w:pPr>
      <w:r w:rsidRPr="00CF5625">
        <w:rPr>
          <w:rFonts w:cs="AdvP49811"/>
        </w:rPr>
        <w:t xml:space="preserve">Walls and Associates (2010) National Establishment Time-Series (NETS) Database: Database Description. Available: </w:t>
      </w:r>
      <w:hyperlink r:id="rId9" w:history="1">
        <w:r w:rsidRPr="00CF5625">
          <w:rPr>
            <w:rStyle w:val="Hyperlink"/>
            <w:rFonts w:cs="AdvP49811"/>
            <w:color w:val="auto"/>
          </w:rPr>
          <w:t>http://youreconomy.org/pages/walls.lasso</w:t>
        </w:r>
      </w:hyperlink>
      <w:r w:rsidRPr="00CF5625">
        <w:rPr>
          <w:rFonts w:cs="AdvP49811"/>
        </w:rPr>
        <w:t xml:space="preserve">. </w:t>
      </w:r>
      <w:r w:rsidR="0020775E" w:rsidRPr="00CF5625">
        <w:rPr>
          <w:rFonts w:cs="GkbvftAdvTTf1279dcd"/>
          <w:color w:val="131413"/>
        </w:rPr>
        <w:t xml:space="preserve">Accessed </w:t>
      </w:r>
      <w:r w:rsidR="00660277" w:rsidRPr="00CF5625">
        <w:rPr>
          <w:rFonts w:cs="NewsGothic"/>
        </w:rPr>
        <w:t>July 23, 2013</w:t>
      </w:r>
      <w:r w:rsidRPr="00CF5625">
        <w:rPr>
          <w:rFonts w:cs="AdvP49811"/>
        </w:rPr>
        <w:t>.</w:t>
      </w:r>
    </w:p>
    <w:p w14:paraId="4FDF1D65" w14:textId="77777777" w:rsidR="007024FB" w:rsidRPr="00CF5625" w:rsidRDefault="007024FB" w:rsidP="007024FB">
      <w:pPr>
        <w:autoSpaceDE w:val="0"/>
        <w:autoSpaceDN w:val="0"/>
        <w:adjustRightInd w:val="0"/>
        <w:spacing w:after="0" w:line="240" w:lineRule="auto"/>
        <w:rPr>
          <w:rFonts w:cs="TimesLTStd-Roman"/>
        </w:rPr>
      </w:pPr>
    </w:p>
    <w:p w14:paraId="1C23A6DC" w14:textId="77777777" w:rsidR="007024FB" w:rsidRPr="00CF5625" w:rsidRDefault="007024FB" w:rsidP="007024FB">
      <w:pPr>
        <w:autoSpaceDE w:val="0"/>
        <w:autoSpaceDN w:val="0"/>
        <w:adjustRightInd w:val="0"/>
        <w:spacing w:after="0" w:line="240" w:lineRule="auto"/>
        <w:rPr>
          <w:rFonts w:cs="TimesLTStd-Roman"/>
        </w:rPr>
      </w:pPr>
      <w:r w:rsidRPr="00CF5625">
        <w:rPr>
          <w:rFonts w:cs="TimesLTStd-Roman"/>
        </w:rPr>
        <w:t xml:space="preserve">Silverman, B.W. (1986). </w:t>
      </w:r>
      <w:r w:rsidRPr="00CF5625">
        <w:rPr>
          <w:rFonts w:cs="TimesLTStd-Italic"/>
          <w:i/>
          <w:iCs/>
        </w:rPr>
        <w:t>Density Estimation for Statistics and Data Analysis</w:t>
      </w:r>
      <w:r w:rsidRPr="00CF5625">
        <w:rPr>
          <w:rFonts w:cs="TimesLTStd-Roman"/>
        </w:rPr>
        <w:t>. New York, NY: Chapman and Hall.</w:t>
      </w:r>
    </w:p>
    <w:p w14:paraId="1EC4FCD9" w14:textId="77777777" w:rsidR="007024FB" w:rsidRPr="00CF5625" w:rsidRDefault="007024FB" w:rsidP="007024FB">
      <w:pPr>
        <w:autoSpaceDE w:val="0"/>
        <w:autoSpaceDN w:val="0"/>
        <w:adjustRightInd w:val="0"/>
        <w:spacing w:after="0" w:line="240" w:lineRule="auto"/>
        <w:rPr>
          <w:rFonts w:cs="TimesLTStd-Roman"/>
        </w:rPr>
      </w:pPr>
    </w:p>
    <w:p w14:paraId="0624D548" w14:textId="77777777" w:rsidR="007024FB" w:rsidRPr="00CF5625" w:rsidRDefault="007024FB" w:rsidP="007024FB">
      <w:pPr>
        <w:autoSpaceDE w:val="0"/>
        <w:autoSpaceDN w:val="0"/>
        <w:adjustRightInd w:val="0"/>
        <w:spacing w:after="0" w:line="240" w:lineRule="auto"/>
        <w:rPr>
          <w:rFonts w:cs="TimesLTStd-Roman"/>
        </w:rPr>
      </w:pPr>
      <w:r w:rsidRPr="00CF5625">
        <w:rPr>
          <w:rFonts w:cs="TimesLTStd-Roman"/>
        </w:rPr>
        <w:t xml:space="preserve">Schonlau,M., Scribner, R., Farley, T. A., Theall, K. P., Bluthenthal, R. N., Scott, M., &amp; Cohen, D. A. (2008). Alcohol outlet density and alcohol consumption in Los Angeles county and southern Louisiana. </w:t>
      </w:r>
      <w:r w:rsidRPr="00CF5625">
        <w:rPr>
          <w:rFonts w:cs="TimesLTStd-Italic"/>
          <w:i/>
          <w:iCs/>
        </w:rPr>
        <w:t>Geospatial Health</w:t>
      </w:r>
      <w:r w:rsidRPr="00CF5625">
        <w:rPr>
          <w:rFonts w:cs="TimesLTStd-Roman"/>
        </w:rPr>
        <w:t xml:space="preserve">, </w:t>
      </w:r>
      <w:r w:rsidRPr="00CF5625">
        <w:rPr>
          <w:rFonts w:cs="TimesLTStd-Italic"/>
          <w:i/>
          <w:iCs/>
        </w:rPr>
        <w:t>3</w:t>
      </w:r>
      <w:r w:rsidRPr="00CF5625">
        <w:rPr>
          <w:rFonts w:cs="TimesLTStd-Roman"/>
        </w:rPr>
        <w:t>(1), 91–101.</w:t>
      </w:r>
    </w:p>
    <w:p w14:paraId="4E16EF14" w14:textId="77777777" w:rsidR="007024FB" w:rsidRPr="00CF5625" w:rsidRDefault="007024FB" w:rsidP="007024FB">
      <w:pPr>
        <w:autoSpaceDE w:val="0"/>
        <w:autoSpaceDN w:val="0"/>
        <w:adjustRightInd w:val="0"/>
        <w:spacing w:after="0" w:line="240" w:lineRule="auto"/>
        <w:rPr>
          <w:rFonts w:cs="TimesLTStd-Roman"/>
        </w:rPr>
      </w:pPr>
    </w:p>
    <w:p w14:paraId="60DEB222" w14:textId="77777777" w:rsidR="007024FB" w:rsidRPr="00CF5625" w:rsidRDefault="007024FB" w:rsidP="007024FB">
      <w:pPr>
        <w:autoSpaceDE w:val="0"/>
        <w:autoSpaceDN w:val="0"/>
        <w:adjustRightInd w:val="0"/>
        <w:spacing w:after="0" w:line="240" w:lineRule="auto"/>
        <w:rPr>
          <w:rFonts w:cs="TimesLTStd-Roman"/>
        </w:rPr>
      </w:pPr>
      <w:r w:rsidRPr="00CF5625">
        <w:rPr>
          <w:rFonts w:cs="TimesLTStd-Roman"/>
        </w:rPr>
        <w:t xml:space="preserve">Scribner, R. A., Cohen, D. A., &amp; Fisher, W. (2000). Evidence of a structural effect for alcohol outlet density: A multilevel analysis. </w:t>
      </w:r>
      <w:r w:rsidRPr="00CF5625">
        <w:rPr>
          <w:rFonts w:cs="TimesLTStd-Italic"/>
          <w:i/>
          <w:iCs/>
        </w:rPr>
        <w:t>Alcoholism: Clinical and Experimental Research</w:t>
      </w:r>
      <w:r w:rsidRPr="00CF5625">
        <w:rPr>
          <w:rFonts w:cs="TimesLTStd-Roman"/>
        </w:rPr>
        <w:t xml:space="preserve">, </w:t>
      </w:r>
      <w:r w:rsidRPr="00CF5625">
        <w:rPr>
          <w:rFonts w:cs="TimesLTStd-Italic"/>
          <w:i/>
          <w:iCs/>
        </w:rPr>
        <w:t>24</w:t>
      </w:r>
      <w:r w:rsidRPr="00CF5625">
        <w:rPr>
          <w:rFonts w:cs="TimesLTStd-Roman"/>
        </w:rPr>
        <w:t>(2), 188–195.</w:t>
      </w:r>
    </w:p>
    <w:p w14:paraId="639CB5FE" w14:textId="77777777" w:rsidR="007024FB" w:rsidRPr="00CF5625" w:rsidRDefault="007024FB" w:rsidP="00424D45">
      <w:pPr>
        <w:rPr>
          <w:rFonts w:cs="SAS Monospace"/>
          <w:b/>
        </w:rPr>
      </w:pPr>
    </w:p>
    <w:p w14:paraId="7EB8BA7F" w14:textId="77777777" w:rsidR="00D203CA" w:rsidRDefault="00D203CA" w:rsidP="00424D45">
      <w:pPr>
        <w:rPr>
          <w:rFonts w:cs="SAS Monospace"/>
          <w:b/>
        </w:rPr>
      </w:pPr>
    </w:p>
    <w:p w14:paraId="7393E328" w14:textId="0B7E6195" w:rsidR="00424D45" w:rsidRPr="00CF5625" w:rsidRDefault="00424D45" w:rsidP="00424D45">
      <w:pPr>
        <w:rPr>
          <w:rFonts w:cs="SAS Monospace"/>
          <w:b/>
        </w:rPr>
      </w:pPr>
      <w:r w:rsidRPr="00CF5625">
        <w:rPr>
          <w:rFonts w:cs="SAS Monospace"/>
          <w:b/>
        </w:rPr>
        <w:t>RECREATIONAL/PHYSICAL ACTIVITY FACILITIES</w:t>
      </w:r>
    </w:p>
    <w:p w14:paraId="56C98DC3" w14:textId="58ADFD6C" w:rsidR="00660277" w:rsidRPr="00CF5625" w:rsidRDefault="00660277" w:rsidP="00660277">
      <w:pPr>
        <w:autoSpaceDE w:val="0"/>
        <w:autoSpaceDN w:val="0"/>
        <w:adjustRightInd w:val="0"/>
        <w:spacing w:after="0" w:line="240" w:lineRule="auto"/>
        <w:rPr>
          <w:rFonts w:cs="AdvOT3c2d9f11"/>
        </w:rPr>
      </w:pPr>
      <w:r w:rsidRPr="00CF5625">
        <w:rPr>
          <w:rFonts w:cs="AdvOT3c2d9f11"/>
        </w:rPr>
        <w:t xml:space="preserve">GIS-based densities of physical activity resources were derived from commercially available business listings through the National Establishment Time-Series database (Walls 2010). </w:t>
      </w:r>
      <w:r w:rsidR="00520794" w:rsidRPr="00CF5625">
        <w:rPr>
          <w:rFonts w:cs="AdvOT3c2d9f11"/>
        </w:rPr>
        <w:t xml:space="preserve">One hundred and fourteen </w:t>
      </w:r>
      <w:r w:rsidRPr="00CF5625">
        <w:rPr>
          <w:rFonts w:cs="AdvOT3c2d9f11"/>
        </w:rPr>
        <w:t>Standard Industrial Classi</w:t>
      </w:r>
      <w:r w:rsidRPr="00CF5625">
        <w:rPr>
          <w:rFonts w:cs="AdvOT3c2d9f11+fb"/>
        </w:rPr>
        <w:t>fi</w:t>
      </w:r>
      <w:r w:rsidRPr="00CF5625">
        <w:rPr>
          <w:rFonts w:cs="AdvOT3c2d9f11"/>
        </w:rPr>
        <w:t>cation codes related to indoor conditioning, dance, bowling, golf, biking, hiking, team and racquet sports, swimming, physical activity instruction, and water activities were de</w:t>
      </w:r>
      <w:r w:rsidRPr="00CF5625">
        <w:rPr>
          <w:rFonts w:cs="AdvOT3c2d9f11+fb"/>
        </w:rPr>
        <w:t>fi</w:t>
      </w:r>
      <w:r w:rsidRPr="00CF5625">
        <w:rPr>
          <w:rFonts w:cs="AdvOT3c2d9f11"/>
        </w:rPr>
        <w:t>ned as physical activity resources (Gordon-Larsen 2006; Powell 2006). Data were obtained for each year from 2000 to 2010. Annual data were attributed to all months in the year. The simple densities of physical activity resources per square mile were calculated for a 1-mile buffer around each participant’s home address using ArcGIS software (ESRI, Redlands, California).</w:t>
      </w:r>
      <w:r w:rsidR="00892266" w:rsidRPr="00CF5625">
        <w:rPr>
          <w:rFonts w:cs="AdvOT3c2d9f11"/>
        </w:rPr>
        <w:t xml:space="preserve"> The 1-mile buffer was selected for analyses on the basis of a study in a subsample of this cohort, in which a majority of physically active participants reported that they always exercised within 1 mile of their residences or did so at least half the time (Diez Roux 2007).</w:t>
      </w:r>
    </w:p>
    <w:p w14:paraId="0D505E31" w14:textId="77777777" w:rsidR="00660277" w:rsidRPr="00CF5625" w:rsidRDefault="00660277" w:rsidP="00660277">
      <w:pPr>
        <w:autoSpaceDE w:val="0"/>
        <w:autoSpaceDN w:val="0"/>
        <w:adjustRightInd w:val="0"/>
        <w:spacing w:after="0" w:line="240" w:lineRule="auto"/>
        <w:rPr>
          <w:rFonts w:cs="AdvOT3c2d9f11"/>
        </w:rPr>
      </w:pPr>
    </w:p>
    <w:p w14:paraId="5A00ECAF" w14:textId="6A57C0B5" w:rsidR="00660277" w:rsidRPr="00CF5625" w:rsidRDefault="00660277" w:rsidP="00660277">
      <w:pPr>
        <w:autoSpaceDE w:val="0"/>
        <w:autoSpaceDN w:val="0"/>
        <w:adjustRightInd w:val="0"/>
        <w:spacing w:after="0" w:line="240" w:lineRule="auto"/>
        <w:rPr>
          <w:rFonts w:cs="AdvP49811"/>
        </w:rPr>
      </w:pPr>
      <w:r w:rsidRPr="00CF5625">
        <w:rPr>
          <w:rFonts w:cs="AdvP49811"/>
        </w:rPr>
        <w:t xml:space="preserve">Walls and Associates (2010) National Establishment Time-Series (NETS) Database: Database Description. Available: </w:t>
      </w:r>
      <w:hyperlink r:id="rId10" w:history="1">
        <w:r w:rsidRPr="00CF5625">
          <w:rPr>
            <w:rStyle w:val="Hyperlink"/>
            <w:rFonts w:cs="AdvP49811"/>
            <w:color w:val="auto"/>
          </w:rPr>
          <w:t>http://youreconomy.org/pages/walls.lasso</w:t>
        </w:r>
      </w:hyperlink>
      <w:r w:rsidRPr="00CF5625">
        <w:rPr>
          <w:rFonts w:cs="AdvP49811"/>
        </w:rPr>
        <w:t xml:space="preserve">. </w:t>
      </w:r>
      <w:r w:rsidRPr="00CF5625">
        <w:rPr>
          <w:rFonts w:cs="GkbvftAdvTTf1279dcd"/>
        </w:rPr>
        <w:t xml:space="preserve">Accessed </w:t>
      </w:r>
      <w:r w:rsidRPr="00CF5625">
        <w:rPr>
          <w:rFonts w:cs="NewsGothic"/>
        </w:rPr>
        <w:t>July 23, 2013</w:t>
      </w:r>
      <w:r w:rsidRPr="00CF5625">
        <w:rPr>
          <w:rFonts w:cs="AdvP49811"/>
        </w:rPr>
        <w:t>.</w:t>
      </w:r>
    </w:p>
    <w:p w14:paraId="7084E4FD" w14:textId="77777777" w:rsidR="00660277" w:rsidRPr="00CF5625" w:rsidRDefault="00660277" w:rsidP="00660277">
      <w:pPr>
        <w:autoSpaceDE w:val="0"/>
        <w:autoSpaceDN w:val="0"/>
        <w:adjustRightInd w:val="0"/>
        <w:spacing w:after="0" w:line="240" w:lineRule="auto"/>
        <w:rPr>
          <w:rFonts w:cs="TimesLTStd-Roman"/>
        </w:rPr>
      </w:pPr>
    </w:p>
    <w:p w14:paraId="5F3A23F0" w14:textId="70EF4063" w:rsidR="00660277" w:rsidRPr="00CF5625" w:rsidRDefault="00660277" w:rsidP="00660277">
      <w:pPr>
        <w:autoSpaceDE w:val="0"/>
        <w:autoSpaceDN w:val="0"/>
        <w:adjustRightInd w:val="0"/>
        <w:spacing w:after="0" w:line="240" w:lineRule="auto"/>
        <w:rPr>
          <w:rFonts w:cs="AdvOT3c2d9f11"/>
        </w:rPr>
      </w:pPr>
      <w:r w:rsidRPr="00CF5625">
        <w:rPr>
          <w:rFonts w:cs="AdvOT3c2d9f11"/>
        </w:rPr>
        <w:t xml:space="preserve">Gordon-Larsen P, Nelson MC, Page P, et al. Inequality in the built environment underlies key health disparities in physical activity and obesity. </w:t>
      </w:r>
      <w:r w:rsidRPr="00CF5625">
        <w:rPr>
          <w:rFonts w:cs="AdvOT21bf1298.I"/>
        </w:rPr>
        <w:t>Pediatrics</w:t>
      </w:r>
      <w:r w:rsidRPr="00CF5625">
        <w:rPr>
          <w:rFonts w:cs="AdvOT3c2d9f11"/>
        </w:rPr>
        <w:t>. 2006;117(2):417</w:t>
      </w:r>
      <w:r w:rsidRPr="00CF5625">
        <w:rPr>
          <w:rFonts w:cs="AdvTT5843c571+20"/>
        </w:rPr>
        <w:t>–</w:t>
      </w:r>
      <w:r w:rsidRPr="00CF5625">
        <w:rPr>
          <w:rFonts w:cs="AdvOT3c2d9f11"/>
        </w:rPr>
        <w:t>424.</w:t>
      </w:r>
    </w:p>
    <w:p w14:paraId="5481997C" w14:textId="77777777" w:rsidR="00660277" w:rsidRPr="00CF5625" w:rsidRDefault="00660277" w:rsidP="00660277">
      <w:pPr>
        <w:autoSpaceDE w:val="0"/>
        <w:autoSpaceDN w:val="0"/>
        <w:adjustRightInd w:val="0"/>
        <w:spacing w:after="0" w:line="240" w:lineRule="auto"/>
        <w:rPr>
          <w:rFonts w:cs="AdvOT3c2d9f11"/>
        </w:rPr>
      </w:pPr>
    </w:p>
    <w:p w14:paraId="0AEA0816" w14:textId="1D5E1DBC" w:rsidR="00660277" w:rsidRPr="00CF5625" w:rsidRDefault="00660277" w:rsidP="00660277">
      <w:pPr>
        <w:autoSpaceDE w:val="0"/>
        <w:autoSpaceDN w:val="0"/>
        <w:adjustRightInd w:val="0"/>
        <w:spacing w:after="0" w:line="240" w:lineRule="auto"/>
        <w:rPr>
          <w:rFonts w:cs="AdvOT3c2d9f11"/>
        </w:rPr>
      </w:pPr>
      <w:r w:rsidRPr="00CF5625">
        <w:rPr>
          <w:rFonts w:cs="AdvOT3c2d9f11"/>
        </w:rPr>
        <w:t>Powell LM, Slater S, Chaloupka FJ, et al. Availability of physical activity</w:t>
      </w:r>
      <w:r w:rsidRPr="00CF5625">
        <w:rPr>
          <w:rFonts w:cs="AdvTT5843c571+20"/>
        </w:rPr>
        <w:t>–</w:t>
      </w:r>
      <w:r w:rsidRPr="00CF5625">
        <w:rPr>
          <w:rFonts w:cs="AdvOT3c2d9f11"/>
        </w:rPr>
        <w:t xml:space="preserve">related facilities and neighborhood demographic and socioeconomic characteristics: a national study. </w:t>
      </w:r>
      <w:r w:rsidRPr="00CF5625">
        <w:rPr>
          <w:rFonts w:cs="AdvOT21bf1298.I"/>
        </w:rPr>
        <w:t>Am J Public Health</w:t>
      </w:r>
      <w:r w:rsidRPr="00CF5625">
        <w:rPr>
          <w:rFonts w:cs="AdvOT3c2d9f11"/>
        </w:rPr>
        <w:t>. 2006;96(9):1676</w:t>
      </w:r>
      <w:r w:rsidRPr="00CF5625">
        <w:rPr>
          <w:rFonts w:cs="AdvTT5843c571+20"/>
        </w:rPr>
        <w:t>–</w:t>
      </w:r>
      <w:r w:rsidRPr="00CF5625">
        <w:rPr>
          <w:rFonts w:cs="AdvOT3c2d9f11"/>
        </w:rPr>
        <w:t>1680.</w:t>
      </w:r>
    </w:p>
    <w:p w14:paraId="5EF5303F" w14:textId="77777777" w:rsidR="00892266" w:rsidRPr="00CF5625" w:rsidRDefault="00892266" w:rsidP="00892266">
      <w:pPr>
        <w:autoSpaceDE w:val="0"/>
        <w:autoSpaceDN w:val="0"/>
        <w:adjustRightInd w:val="0"/>
        <w:spacing w:after="0" w:line="240" w:lineRule="auto"/>
        <w:rPr>
          <w:rFonts w:cs="AdvOT3c2d9f11"/>
        </w:rPr>
      </w:pPr>
    </w:p>
    <w:p w14:paraId="0206EE6B" w14:textId="77777777" w:rsidR="00892266" w:rsidRPr="00CF5625" w:rsidRDefault="00892266" w:rsidP="00892266">
      <w:pPr>
        <w:autoSpaceDE w:val="0"/>
        <w:autoSpaceDN w:val="0"/>
        <w:adjustRightInd w:val="0"/>
        <w:spacing w:after="0" w:line="240" w:lineRule="auto"/>
        <w:rPr>
          <w:rFonts w:cs="AdvOT3c2d9f11"/>
        </w:rPr>
      </w:pPr>
      <w:r w:rsidRPr="00CF5625">
        <w:rPr>
          <w:rFonts w:cs="AdvOT3c2d9f11"/>
        </w:rPr>
        <w:t xml:space="preserve">Diez Roux A, Evenson K, McGinn A, et al. Availability of recreational resources and physical activity in adults. </w:t>
      </w:r>
      <w:r w:rsidRPr="00CF5625">
        <w:rPr>
          <w:rFonts w:cs="AdvOT21bf1298.I"/>
        </w:rPr>
        <w:t>Am J Public Health</w:t>
      </w:r>
      <w:r w:rsidRPr="00CF5625">
        <w:rPr>
          <w:rFonts w:cs="AdvOT3c2d9f11"/>
        </w:rPr>
        <w:t>. 2007;97(3):493</w:t>
      </w:r>
      <w:r w:rsidRPr="00CF5625">
        <w:rPr>
          <w:rFonts w:cs="AdvTT5843c571+20"/>
        </w:rPr>
        <w:t>–</w:t>
      </w:r>
      <w:r w:rsidRPr="00CF5625">
        <w:rPr>
          <w:rFonts w:cs="AdvOT3c2d9f11"/>
        </w:rPr>
        <w:t>499.</w:t>
      </w:r>
    </w:p>
    <w:p w14:paraId="29EB1039" w14:textId="77777777" w:rsidR="00892266" w:rsidRPr="00CF5625" w:rsidRDefault="00892266" w:rsidP="00424D45">
      <w:pPr>
        <w:rPr>
          <w:rFonts w:cs="SAS Monospace"/>
          <w:b/>
        </w:rPr>
      </w:pPr>
    </w:p>
    <w:p w14:paraId="548F079D" w14:textId="77777777" w:rsidR="00B95668" w:rsidRPr="00CF5625" w:rsidRDefault="00B95668" w:rsidP="00424D45">
      <w:pPr>
        <w:rPr>
          <w:rFonts w:cs="SAS Monospace"/>
          <w:b/>
        </w:rPr>
      </w:pPr>
    </w:p>
    <w:p w14:paraId="22BDAD8D" w14:textId="3E6421BA" w:rsidR="00424D45" w:rsidRPr="00CF5625" w:rsidRDefault="00424D45" w:rsidP="00424D45">
      <w:pPr>
        <w:rPr>
          <w:rFonts w:cs="SAS Monospace"/>
          <w:b/>
        </w:rPr>
      </w:pPr>
      <w:r w:rsidRPr="00CF5625">
        <w:rPr>
          <w:rFonts w:cs="SAS Monospace"/>
          <w:b/>
        </w:rPr>
        <w:t>SOCIAL ENGAGEMENT DESTINATIONS</w:t>
      </w:r>
    </w:p>
    <w:p w14:paraId="7D00AE7A" w14:textId="77777777" w:rsidR="0020775E" w:rsidRPr="00CF5625" w:rsidRDefault="0020775E" w:rsidP="0020775E">
      <w:pPr>
        <w:autoSpaceDE w:val="0"/>
        <w:autoSpaceDN w:val="0"/>
        <w:adjustRightInd w:val="0"/>
        <w:spacing w:after="0" w:line="240" w:lineRule="auto"/>
        <w:rPr>
          <w:rFonts w:cs="GkbvftAdvTTf1279dcd"/>
          <w:color w:val="131413"/>
        </w:rPr>
      </w:pPr>
      <w:r w:rsidRPr="00CF5625">
        <w:rPr>
          <w:rFonts w:cs="GkbvftAdvTTf1279dcd"/>
          <w:color w:val="131413"/>
        </w:rPr>
        <w:t>GIS-based data on social engagement destinations were obtained from the National Establishment Time Series (NETS) database from Walls &amp; Associates (Walls 2008)</w:t>
      </w:r>
      <w:r w:rsidRPr="00CF5625">
        <w:rPr>
          <w:rFonts w:cs="GkbvftAdvTTf1279dcd"/>
          <w:color w:val="3A2A98"/>
        </w:rPr>
        <w:t xml:space="preserve"> </w:t>
      </w:r>
      <w:r w:rsidRPr="00CF5625">
        <w:rPr>
          <w:rFonts w:cs="GkbvftAdvTTf1279dcd"/>
          <w:color w:val="131413"/>
        </w:rPr>
        <w:t>for years 2000</w:t>
      </w:r>
      <w:r w:rsidRPr="00CF5625">
        <w:rPr>
          <w:rFonts w:cs="YyqmhlAdvTTf1279dcd+20"/>
          <w:color w:val="131413"/>
        </w:rPr>
        <w:t>–</w:t>
      </w:r>
      <w:r w:rsidRPr="00CF5625">
        <w:rPr>
          <w:rFonts w:cs="GkbvftAdvTTf1279dcd"/>
          <w:color w:val="131413"/>
        </w:rPr>
        <w:t>2010. Based on previous work, a total of 430 Standard Industrial Classi</w:t>
      </w:r>
      <w:r w:rsidRPr="00CF5625">
        <w:rPr>
          <w:rFonts w:cs="MrxjrnAdvTTf1279dcd+fb"/>
          <w:color w:val="131413"/>
        </w:rPr>
        <w:t>fi</w:t>
      </w:r>
      <w:r w:rsidRPr="00CF5625">
        <w:rPr>
          <w:rFonts w:cs="GkbvftAdvTTf1279dcd"/>
          <w:color w:val="131413"/>
        </w:rPr>
        <w:t>cation codes were selected as locations which may facilitate social interaction and promote social engagement (Hoehner 2010).</w:t>
      </w:r>
      <w:r w:rsidRPr="00CF5625">
        <w:rPr>
          <w:rFonts w:cs="GkbvftAdvTTf1279dcd"/>
          <w:color w:val="3A2A98"/>
        </w:rPr>
        <w:t xml:space="preserve"> </w:t>
      </w:r>
      <w:r w:rsidRPr="00CF5625">
        <w:rPr>
          <w:rFonts w:cs="GkbvftAdvTTf1279dcd"/>
          <w:color w:val="131413"/>
        </w:rPr>
        <w:t xml:space="preserve">These destinations include: participatory entertainment and physical activity (e.g., gyms, yoga, bowling, golf); cultural/intellectual (e.g., theaters, libraries, museums/galleries, social/political clubs); restaurants and night clubs; spiritual/religious (e.g., churches, synagogues, mosques); beauty salons and barbers; and gambling or coin operated entertainment (e.g., casinos, arcades). Destinations density (number per square mile) was </w:t>
      </w:r>
      <w:r w:rsidRPr="00CF5625">
        <w:rPr>
          <w:rFonts w:cs="GkbvftAdvTTf1279dcd"/>
          <w:color w:val="131413"/>
        </w:rPr>
        <w:lastRenderedPageBreak/>
        <w:t>created using ArcGIS 10.1 for 1-mile Euclidean buffers around each residential address and linked to each exam by calendar year.</w:t>
      </w:r>
    </w:p>
    <w:p w14:paraId="1E328651" w14:textId="77777777" w:rsidR="0020775E" w:rsidRPr="00CF5625" w:rsidRDefault="0020775E" w:rsidP="0020775E">
      <w:pPr>
        <w:autoSpaceDE w:val="0"/>
        <w:autoSpaceDN w:val="0"/>
        <w:adjustRightInd w:val="0"/>
        <w:spacing w:after="0" w:line="240" w:lineRule="auto"/>
        <w:rPr>
          <w:rFonts w:cs="GkbvftAdvTTf1279dcd"/>
          <w:color w:val="131413"/>
        </w:rPr>
      </w:pPr>
    </w:p>
    <w:p w14:paraId="13579EFB" w14:textId="73BCDA6B" w:rsidR="0020775E" w:rsidRPr="00CF5625" w:rsidRDefault="0020775E" w:rsidP="0020775E">
      <w:pPr>
        <w:autoSpaceDE w:val="0"/>
        <w:autoSpaceDN w:val="0"/>
        <w:adjustRightInd w:val="0"/>
        <w:spacing w:after="0" w:line="240" w:lineRule="auto"/>
        <w:rPr>
          <w:rFonts w:cs="GkbvftAdvTTf1279dcd"/>
          <w:color w:val="131413"/>
        </w:rPr>
      </w:pPr>
      <w:r w:rsidRPr="00CF5625">
        <w:rPr>
          <w:rFonts w:cs="GkbvftAdvTTf1279dcd"/>
          <w:color w:val="131413"/>
        </w:rPr>
        <w:t xml:space="preserve">Walls &amp; Associates L. National Establishment Time-Series (NETS) Database: database description. Available at: </w:t>
      </w:r>
      <w:hyperlink r:id="rId11" w:history="1">
        <w:r w:rsidRPr="00CF5625">
          <w:rPr>
            <w:rStyle w:val="Hyperlink"/>
            <w:rFonts w:cs="GkbvftAdvTTf1279dcd"/>
          </w:rPr>
          <w:t>www.youreconomy.org/nets/NETSDatabaseDescription.pdf</w:t>
        </w:r>
      </w:hyperlink>
      <w:r w:rsidRPr="00CF5625">
        <w:rPr>
          <w:rFonts w:cs="GkbvftAdvTTf1279dcd"/>
          <w:color w:val="131413"/>
        </w:rPr>
        <w:t xml:space="preserve">. Accessed </w:t>
      </w:r>
      <w:r w:rsidR="00660277" w:rsidRPr="00CF5625">
        <w:rPr>
          <w:rFonts w:cs="NewsGothic"/>
        </w:rPr>
        <w:t>July 23, 2013</w:t>
      </w:r>
      <w:r w:rsidRPr="00CF5625">
        <w:rPr>
          <w:rFonts w:cs="GkbvftAdvTTf1279dcd"/>
          <w:color w:val="131413"/>
        </w:rPr>
        <w:t>.</w:t>
      </w:r>
    </w:p>
    <w:p w14:paraId="237AB696" w14:textId="77777777" w:rsidR="0020775E" w:rsidRPr="00CF5625" w:rsidRDefault="0020775E" w:rsidP="0020775E">
      <w:pPr>
        <w:autoSpaceDE w:val="0"/>
        <w:autoSpaceDN w:val="0"/>
        <w:adjustRightInd w:val="0"/>
        <w:spacing w:after="0" w:line="240" w:lineRule="auto"/>
        <w:rPr>
          <w:rFonts w:cs="GkbvftAdvTTf1279dcd"/>
          <w:color w:val="131413"/>
        </w:rPr>
      </w:pPr>
    </w:p>
    <w:p w14:paraId="35BB6332" w14:textId="77777777" w:rsidR="0020775E" w:rsidRPr="00CF5625" w:rsidRDefault="0020775E" w:rsidP="0020775E">
      <w:pPr>
        <w:autoSpaceDE w:val="0"/>
        <w:autoSpaceDN w:val="0"/>
        <w:adjustRightInd w:val="0"/>
        <w:spacing w:after="0" w:line="240" w:lineRule="auto"/>
        <w:rPr>
          <w:rFonts w:cs="GkbvftAdvTTf1279dcd"/>
          <w:color w:val="131413"/>
        </w:rPr>
      </w:pPr>
      <w:r w:rsidRPr="00CF5625">
        <w:rPr>
          <w:rFonts w:cs="GkbvftAdvTTf1279dcd"/>
          <w:color w:val="131413"/>
        </w:rPr>
        <w:t xml:space="preserve">Hoehner CM, Schootman M. Concordance of commercial data sources for neighborhood-effects studies. </w:t>
      </w:r>
      <w:r w:rsidRPr="00CF5625">
        <w:rPr>
          <w:rFonts w:cs="LyrcsnAdvTTff708297.I"/>
          <w:color w:val="131413"/>
        </w:rPr>
        <w:t>J Urban Health</w:t>
      </w:r>
      <w:r w:rsidRPr="00CF5625">
        <w:rPr>
          <w:rFonts w:cs="GkbvftAdvTTf1279dcd"/>
          <w:color w:val="131413"/>
        </w:rPr>
        <w:t>. 2010; 87(4): 713</w:t>
      </w:r>
      <w:r w:rsidRPr="00CF5625">
        <w:rPr>
          <w:rFonts w:cs="YyqmhlAdvTTf1279dcd+20"/>
          <w:color w:val="131413"/>
        </w:rPr>
        <w:t>–</w:t>
      </w:r>
      <w:r w:rsidRPr="00CF5625">
        <w:rPr>
          <w:rFonts w:cs="GkbvftAdvTTf1279dcd"/>
          <w:color w:val="131413"/>
        </w:rPr>
        <w:t>725.</w:t>
      </w:r>
    </w:p>
    <w:p w14:paraId="6BCB9ADB" w14:textId="77777777" w:rsidR="0020775E" w:rsidRPr="00CF5625" w:rsidRDefault="0020775E" w:rsidP="00424D45">
      <w:pPr>
        <w:rPr>
          <w:rFonts w:cs="SAS Monospace"/>
          <w:b/>
        </w:rPr>
      </w:pPr>
    </w:p>
    <w:p w14:paraId="59C08F5C" w14:textId="77777777" w:rsidR="00B95668" w:rsidRPr="00CF5625" w:rsidRDefault="00B95668" w:rsidP="00424D45">
      <w:pPr>
        <w:rPr>
          <w:rFonts w:cs="SAS Monospace"/>
          <w:b/>
        </w:rPr>
      </w:pPr>
    </w:p>
    <w:p w14:paraId="30B35E0F" w14:textId="6C2C2583" w:rsidR="00424D45" w:rsidRPr="00CF5625" w:rsidRDefault="00424D45" w:rsidP="00424D45">
      <w:pPr>
        <w:rPr>
          <w:rFonts w:cs="SAS Monospace"/>
          <w:b/>
        </w:rPr>
      </w:pPr>
      <w:r w:rsidRPr="00CF5625">
        <w:rPr>
          <w:rFonts w:cs="SAS Monospace"/>
          <w:b/>
        </w:rPr>
        <w:t>POPULAR WALKING DESTINATIONS</w:t>
      </w:r>
    </w:p>
    <w:p w14:paraId="1916B667" w14:textId="01659605"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Built environment measures were also calculated during the MESA Neighborhood Ancillary Study. </w:t>
      </w:r>
      <w:r w:rsidRPr="00CF5625">
        <w:rPr>
          <w:rFonts w:cs="AdvOT3c2d9f11"/>
          <w:color w:val="000000"/>
        </w:rPr>
        <w:t xml:space="preserve">On the basis of previous frameworks (Handy 2002), we investigated 5 built environment domains: population density, zoned land-use patterns, access to destinations, public transportation, and street connectivity. Elements of these domains may make it easier for people to complete daily tasks on foot, subsequently increasing transport walking and physical activity levels and </w:t>
      </w:r>
      <w:r w:rsidRPr="00CF5625">
        <w:rPr>
          <w:rFonts w:cs="AdvOT46dcae81"/>
        </w:rPr>
        <w:t xml:space="preserve">have been shown to be most associated with walking for transportation in this cohort (Hirsch 2014).  </w:t>
      </w:r>
      <w:r w:rsidRPr="00CF5625">
        <w:rPr>
          <w:rFonts w:cs="AdvOT3c2d9f11"/>
          <w:color w:val="000000"/>
        </w:rPr>
        <w:t>Neighborhoods were de</w:t>
      </w:r>
      <w:r w:rsidRPr="00CF5625">
        <w:rPr>
          <w:rFonts w:cs="AdvOT3c2d9f11+fb"/>
          <w:color w:val="000000"/>
        </w:rPr>
        <w:t>fi</w:t>
      </w:r>
      <w:r w:rsidRPr="00CF5625">
        <w:rPr>
          <w:rFonts w:cs="AdvOT3c2d9f11"/>
          <w:color w:val="000000"/>
        </w:rPr>
        <w:t xml:space="preserve">ned by </w:t>
      </w:r>
      <w:r w:rsidRPr="00CF5625">
        <w:rPr>
          <w:rFonts w:cs="AdvOT3c2d9f11+fb"/>
          <w:color w:val="000000"/>
        </w:rPr>
        <w:t>fi</w:t>
      </w:r>
      <w:r w:rsidRPr="00CF5625">
        <w:rPr>
          <w:rFonts w:cs="AdvOT3c2d9f11"/>
          <w:color w:val="000000"/>
        </w:rPr>
        <w:t>tting Euclidean buffers around participants’ addresses. Primary results are reported for Euclidean buffers with a 1-mile radius because areas of this size are thought to best capture the relationship between built environment characteristics and walking in MESA’s diverse urban contexts. Walking destinations were identi</w:t>
      </w:r>
      <w:r w:rsidRPr="00CF5625">
        <w:rPr>
          <w:rFonts w:cs="AdvOT3c2d9f11+fb"/>
          <w:color w:val="000000"/>
        </w:rPr>
        <w:t>fi</w:t>
      </w:r>
      <w:r w:rsidRPr="00CF5625">
        <w:rPr>
          <w:rFonts w:cs="AdvOT3c2d9f11"/>
          <w:color w:val="000000"/>
        </w:rPr>
        <w:t>ed using Standard Industrial Classi</w:t>
      </w:r>
      <w:r w:rsidRPr="00CF5625">
        <w:rPr>
          <w:rFonts w:cs="AdvOT3c2d9f11+fb"/>
          <w:color w:val="000000"/>
        </w:rPr>
        <w:t>fi</w:t>
      </w:r>
      <w:r w:rsidRPr="00CF5625">
        <w:rPr>
          <w:rFonts w:cs="AdvOT3c2d9f11"/>
          <w:color w:val="000000"/>
        </w:rPr>
        <w:t>cation codes and data obtained from the National Establishment Time Series database (</w:t>
      </w:r>
      <w:r w:rsidRPr="00CF5625">
        <w:rPr>
          <w:rFonts w:cs="AdvOT3c2d9f11"/>
          <w:color w:val="0000FF"/>
        </w:rPr>
        <w:t>Hoehner 2010; Walls 2010</w:t>
      </w:r>
      <w:r w:rsidRPr="00CF5625">
        <w:rPr>
          <w:rFonts w:cs="AdvOT3c2d9f11"/>
          <w:color w:val="000000"/>
        </w:rPr>
        <w:t xml:space="preserve">). </w:t>
      </w:r>
      <w:r w:rsidRPr="00CF5625">
        <w:rPr>
          <w:rFonts w:cs="AdvOT46dcae81"/>
        </w:rPr>
        <w:t>Details on these measures can be found elsewhere (Hirsch 2014).</w:t>
      </w:r>
    </w:p>
    <w:p w14:paraId="17605966" w14:textId="77777777" w:rsidR="002D3497" w:rsidRPr="00CF5625" w:rsidRDefault="002D3497" w:rsidP="002D3497">
      <w:pPr>
        <w:autoSpaceDE w:val="0"/>
        <w:autoSpaceDN w:val="0"/>
        <w:adjustRightInd w:val="0"/>
        <w:spacing w:after="0" w:line="240" w:lineRule="auto"/>
        <w:rPr>
          <w:rFonts w:cs="AdvOT46dcae81"/>
        </w:rPr>
      </w:pPr>
    </w:p>
    <w:p w14:paraId="66525892"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Handy SL, Boarnet MG, Ewing R, et al. How the built environment affects physical activity: views from urban planning. </w:t>
      </w:r>
      <w:r w:rsidRPr="00CF5625">
        <w:rPr>
          <w:rFonts w:cs="AdvOT21bf1298.I"/>
        </w:rPr>
        <w:t>Am J Prev Med</w:t>
      </w:r>
      <w:r w:rsidRPr="00CF5625">
        <w:rPr>
          <w:rFonts w:cs="AdvOT3c2d9f11"/>
        </w:rPr>
        <w:t>. 2002;23(2 suppl):64</w:t>
      </w:r>
      <w:r w:rsidRPr="00CF5625">
        <w:rPr>
          <w:rFonts w:cs="AdvTT5843c571+20"/>
        </w:rPr>
        <w:t>–</w:t>
      </w:r>
      <w:r w:rsidRPr="00CF5625">
        <w:rPr>
          <w:rFonts w:cs="AdvOT3c2d9f11"/>
        </w:rPr>
        <w:t>73.</w:t>
      </w:r>
    </w:p>
    <w:p w14:paraId="001CD3ED" w14:textId="77777777" w:rsidR="002D3497" w:rsidRPr="00CF5625" w:rsidRDefault="002D3497" w:rsidP="002D3497">
      <w:pPr>
        <w:autoSpaceDE w:val="0"/>
        <w:autoSpaceDN w:val="0"/>
        <w:adjustRightInd w:val="0"/>
        <w:spacing w:after="0" w:line="240" w:lineRule="auto"/>
        <w:rPr>
          <w:rFonts w:cs="AdvOT3c2d9f11"/>
        </w:rPr>
      </w:pPr>
    </w:p>
    <w:p w14:paraId="45DBE17E"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Hoehner CM, Schootman M. Concordance of commercial data sources for neighborhood-effects studies. </w:t>
      </w:r>
      <w:r w:rsidRPr="00CF5625">
        <w:rPr>
          <w:rFonts w:cs="AdvOT21bf1298.I"/>
        </w:rPr>
        <w:t>J Urban Health</w:t>
      </w:r>
      <w:r w:rsidRPr="00CF5625">
        <w:rPr>
          <w:rFonts w:cs="AdvOT3c2d9f11"/>
        </w:rPr>
        <w:t>. 2010;87(4):713</w:t>
      </w:r>
      <w:r w:rsidRPr="00CF5625">
        <w:rPr>
          <w:rFonts w:cs="AdvTT5843c571+20"/>
        </w:rPr>
        <w:t>–</w:t>
      </w:r>
      <w:r w:rsidRPr="00CF5625">
        <w:rPr>
          <w:rFonts w:cs="AdvOT3c2d9f11"/>
        </w:rPr>
        <w:t>725.</w:t>
      </w:r>
    </w:p>
    <w:p w14:paraId="1F667ADD" w14:textId="77777777" w:rsidR="002D3497" w:rsidRPr="00CF5625" w:rsidRDefault="002D3497" w:rsidP="002D3497">
      <w:pPr>
        <w:autoSpaceDE w:val="0"/>
        <w:autoSpaceDN w:val="0"/>
        <w:adjustRightInd w:val="0"/>
        <w:spacing w:after="0" w:line="240" w:lineRule="auto"/>
        <w:rPr>
          <w:rFonts w:cs="AdvOT3c2d9f11"/>
        </w:rPr>
      </w:pPr>
    </w:p>
    <w:p w14:paraId="39842CD4" w14:textId="77777777" w:rsidR="002D3497" w:rsidRPr="00CF5625" w:rsidRDefault="002D3497" w:rsidP="002D3497">
      <w:pPr>
        <w:autoSpaceDE w:val="0"/>
        <w:autoSpaceDN w:val="0"/>
        <w:adjustRightInd w:val="0"/>
        <w:spacing w:after="0" w:line="240" w:lineRule="auto"/>
        <w:rPr>
          <w:rFonts w:cs="AdvOT3c2d9f11"/>
          <w:color w:val="000000"/>
        </w:rPr>
      </w:pPr>
      <w:r w:rsidRPr="00CF5625">
        <w:rPr>
          <w:rFonts w:cs="AdvOT3c2d9f11"/>
          <w:color w:val="000000"/>
        </w:rPr>
        <w:t xml:space="preserve">Walls &amp; Associates. National Establishment Time-Series (NETS) Database: 2012 Database Description (Preliminary Release). Denver, CO: Walls &amp; Associates; 2013. </w:t>
      </w:r>
      <w:r w:rsidRPr="00CF5625">
        <w:rPr>
          <w:rFonts w:cs="AdvOT3c2d9f11"/>
          <w:color w:val="0000FF"/>
        </w:rPr>
        <w:t>http://exceptionalgrowth.org/downloads/NETSDatabaseDescription2013.pdf</w:t>
      </w:r>
      <w:r w:rsidRPr="00CF5625">
        <w:rPr>
          <w:rFonts w:cs="AdvOT3c2d9f11"/>
          <w:color w:val="000000"/>
        </w:rPr>
        <w:t>. Accessed May 20, 2014.</w:t>
      </w:r>
    </w:p>
    <w:p w14:paraId="1EB891DE" w14:textId="77777777" w:rsidR="002D3497" w:rsidRPr="00CF5625" w:rsidRDefault="002D3497" w:rsidP="002D3497">
      <w:pPr>
        <w:autoSpaceDE w:val="0"/>
        <w:autoSpaceDN w:val="0"/>
        <w:adjustRightInd w:val="0"/>
        <w:spacing w:after="0" w:line="240" w:lineRule="auto"/>
        <w:rPr>
          <w:rFonts w:cs="AdvOT3c2d9f11"/>
          <w:color w:val="000000"/>
        </w:rPr>
      </w:pPr>
    </w:p>
    <w:p w14:paraId="6CFADA60" w14:textId="77777777"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Hirsch JA, Moore KA, Clarke PJ, Rodriguez DA, Evenson KR, Brines SJ </w:t>
      </w:r>
      <w:r w:rsidRPr="00CF5625">
        <w:rPr>
          <w:rFonts w:cs="AdvOT65f8a23b.I"/>
        </w:rPr>
        <w:t xml:space="preserve">et al. </w:t>
      </w:r>
      <w:r w:rsidRPr="00CF5625">
        <w:rPr>
          <w:rFonts w:cs="AdvOT46dcae81"/>
        </w:rPr>
        <w:t xml:space="preserve">Changes in the built environment and changes in the amount of walking over time: longitudinal results from the Multi-Ethnic Study of Atherosclerosis. </w:t>
      </w:r>
      <w:r w:rsidRPr="00CF5625">
        <w:rPr>
          <w:rFonts w:cs="AdvOT65f8a23b.I"/>
        </w:rPr>
        <w:t xml:space="preserve">Am J Epidemiol </w:t>
      </w:r>
      <w:r w:rsidRPr="00CF5625">
        <w:rPr>
          <w:rFonts w:cs="AdvOT46dcae81"/>
        </w:rPr>
        <w:t xml:space="preserve">2014; </w:t>
      </w:r>
      <w:r w:rsidRPr="00CF5625">
        <w:rPr>
          <w:rFonts w:cs="AdvOT3b30f6db.B"/>
        </w:rPr>
        <w:t>180</w:t>
      </w:r>
      <w:r w:rsidRPr="00CF5625">
        <w:rPr>
          <w:rFonts w:cs="AdvOT46dcae81"/>
        </w:rPr>
        <w:t>: 799</w:t>
      </w:r>
      <w:r w:rsidRPr="00CF5625">
        <w:rPr>
          <w:rFonts w:cs="AdvOT46dcae81+20"/>
        </w:rPr>
        <w:t>–</w:t>
      </w:r>
      <w:r w:rsidRPr="00CF5625">
        <w:rPr>
          <w:rFonts w:cs="AdvOT46dcae81"/>
        </w:rPr>
        <w:t>809.</w:t>
      </w:r>
    </w:p>
    <w:p w14:paraId="4A0834B1" w14:textId="77777777" w:rsidR="003A4F55" w:rsidRPr="00CF5625" w:rsidRDefault="003A4F55" w:rsidP="00424D45">
      <w:pPr>
        <w:rPr>
          <w:rFonts w:cs="SAS Monospace"/>
          <w:b/>
        </w:rPr>
      </w:pPr>
    </w:p>
    <w:p w14:paraId="4B489F7A" w14:textId="77777777" w:rsidR="00B95668" w:rsidRPr="00CF5625" w:rsidRDefault="00B95668" w:rsidP="00424D45">
      <w:pPr>
        <w:rPr>
          <w:rFonts w:cs="SAS Monospace"/>
          <w:b/>
        </w:rPr>
      </w:pPr>
    </w:p>
    <w:p w14:paraId="37EE825F" w14:textId="540C391F" w:rsidR="00424D45" w:rsidRPr="00CF5625" w:rsidRDefault="00424D45" w:rsidP="00424D45">
      <w:pPr>
        <w:rPr>
          <w:rFonts w:cs="SAS Monospace"/>
          <w:b/>
        </w:rPr>
      </w:pPr>
      <w:r w:rsidRPr="00CF5625">
        <w:rPr>
          <w:rFonts w:cs="SAS Monospace"/>
          <w:b/>
        </w:rPr>
        <w:t>STREET NETWORK</w:t>
      </w:r>
    </w:p>
    <w:p w14:paraId="5E58AE41" w14:textId="0107061F"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Built environment measures were also calculated during the MESA Neighborhood Ancillary Study. </w:t>
      </w:r>
      <w:r w:rsidRPr="00CF5625">
        <w:rPr>
          <w:rFonts w:cs="AdvOT3c2d9f11"/>
        </w:rPr>
        <w:t xml:space="preserve">On the basis of previous frameworks (Handy 2002), we investigated 5 built environment domains: </w:t>
      </w:r>
      <w:r w:rsidRPr="00CF5625">
        <w:rPr>
          <w:rFonts w:cs="AdvOT3c2d9f11"/>
        </w:rPr>
        <w:lastRenderedPageBreak/>
        <w:t xml:space="preserve">population density, zoned land-use patterns, access to destinations, public transportation, and street connectivity. Elements of these domains may make it easier for people to complete daily tasks on foot, subsequently increasing transport walking and physical activity levels and </w:t>
      </w:r>
      <w:r w:rsidRPr="00CF5625">
        <w:rPr>
          <w:rFonts w:cs="AdvOT46dcae81"/>
        </w:rPr>
        <w:t xml:space="preserve">have been shown to be most associated with walking for transportation in this cohort (Hirsch 2014).  </w:t>
      </w:r>
      <w:r w:rsidRPr="00CF5625">
        <w:rPr>
          <w:rFonts w:cs="AdvOT3c2d9f11"/>
        </w:rPr>
        <w:t>Neighborhoods were de</w:t>
      </w:r>
      <w:r w:rsidRPr="00CF5625">
        <w:rPr>
          <w:rFonts w:cs="AdvOT3c2d9f11+fb"/>
        </w:rPr>
        <w:t>fi</w:t>
      </w:r>
      <w:r w:rsidRPr="00CF5625">
        <w:rPr>
          <w:rFonts w:cs="AdvOT3c2d9f11"/>
        </w:rPr>
        <w:t xml:space="preserve">ned by </w:t>
      </w:r>
      <w:r w:rsidRPr="00CF5625">
        <w:rPr>
          <w:rFonts w:cs="AdvOT3c2d9f11+fb"/>
        </w:rPr>
        <w:t>fi</w:t>
      </w:r>
      <w:r w:rsidRPr="00CF5625">
        <w:rPr>
          <w:rFonts w:cs="AdvOT3c2d9f11"/>
        </w:rPr>
        <w:t xml:space="preserve">tting Euclidean buffers around participants’ addresses. Primary results are reported for Euclidean buffers with a 1-mile radius because areas of this size are thought to best capture the relationship between built environment characteristics and walking in MESA’s diverse urban contexts. Street calculations were performed using StreetMap and StreetMap Premium for ArcGIS (Esri). StreetMap </w:t>
      </w:r>
      <w:r w:rsidRPr="00CF5625">
        <w:rPr>
          <w:rFonts w:cs="AdvOT3c2d9f11+fb"/>
        </w:rPr>
        <w:t>fi</w:t>
      </w:r>
      <w:r w:rsidRPr="00CF5625">
        <w:rPr>
          <w:rFonts w:cs="AdvOT3c2d9f11"/>
        </w:rPr>
        <w:t xml:space="preserve">les may be less accurate than data provided by municipalities (Frizzelle 2009), but they are uniform across cities. </w:t>
      </w:r>
      <w:r w:rsidR="00CB0A8E" w:rsidRPr="00CF5625">
        <w:rPr>
          <w:rFonts w:cs="NewBaskerville-Roman"/>
        </w:rPr>
        <w:t xml:space="preserve">Road connectivity was measured as the proportion of the Euclidean buffer that is covered by a network buffer. The ratio varies between 0 and 1, with 0 meaning that none of the circle area can be reached through the road network and 1 meaning that the entire circle can be reached through the street network, denoting highest connectivity. </w:t>
      </w:r>
      <w:r w:rsidRPr="00CF5625">
        <w:rPr>
          <w:rFonts w:cs="AdvOT46dcae81"/>
        </w:rPr>
        <w:t xml:space="preserve">Details on these measures can be found elsewhere (Hirsch 2014). </w:t>
      </w:r>
      <w:r w:rsidRPr="00CF5625">
        <w:rPr>
          <w:rFonts w:cs="AdvOT3c2d9f11"/>
        </w:rPr>
        <w:t>Addresses of MESA participants at each examination were assigned to the data collected closest to the time of examination.</w:t>
      </w:r>
    </w:p>
    <w:p w14:paraId="0B21CD75" w14:textId="77777777" w:rsidR="002D3497" w:rsidRPr="00CF5625" w:rsidRDefault="002D3497" w:rsidP="002D3497">
      <w:pPr>
        <w:autoSpaceDE w:val="0"/>
        <w:autoSpaceDN w:val="0"/>
        <w:adjustRightInd w:val="0"/>
        <w:spacing w:after="0" w:line="240" w:lineRule="auto"/>
        <w:rPr>
          <w:rFonts w:cs="AdvOT46dcae81"/>
        </w:rPr>
      </w:pPr>
    </w:p>
    <w:p w14:paraId="2AD3ACD0"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Handy SL, Boarnet MG, Ewing R, et al. How the built environment affects physical activity: views from urban planning. </w:t>
      </w:r>
      <w:r w:rsidRPr="00CF5625">
        <w:rPr>
          <w:rFonts w:cs="AdvOT21bf1298.I"/>
        </w:rPr>
        <w:t>Am J Prev Med</w:t>
      </w:r>
      <w:r w:rsidRPr="00CF5625">
        <w:rPr>
          <w:rFonts w:cs="AdvOT3c2d9f11"/>
        </w:rPr>
        <w:t>. 2002;23(2 suppl):64</w:t>
      </w:r>
      <w:r w:rsidRPr="00CF5625">
        <w:rPr>
          <w:rFonts w:cs="AdvTT5843c571+20"/>
        </w:rPr>
        <w:t>–</w:t>
      </w:r>
      <w:r w:rsidRPr="00CF5625">
        <w:rPr>
          <w:rFonts w:cs="AdvOT3c2d9f11"/>
        </w:rPr>
        <w:t>73.</w:t>
      </w:r>
    </w:p>
    <w:p w14:paraId="159980F4" w14:textId="77777777" w:rsidR="002D3497" w:rsidRPr="00CF5625" w:rsidRDefault="002D3497" w:rsidP="002D3497">
      <w:pPr>
        <w:autoSpaceDE w:val="0"/>
        <w:autoSpaceDN w:val="0"/>
        <w:adjustRightInd w:val="0"/>
        <w:spacing w:after="0" w:line="240" w:lineRule="auto"/>
        <w:rPr>
          <w:rFonts w:cs="AdvOT3c2d9f11"/>
        </w:rPr>
      </w:pPr>
    </w:p>
    <w:p w14:paraId="2A82DB82" w14:textId="493463E4"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Frizzelle BG, Evenson KR, Rodriguez DA, et al. The importance of accurate road data for spatial applications in public health: customizing a road network. </w:t>
      </w:r>
      <w:r w:rsidRPr="00CF5625">
        <w:rPr>
          <w:rFonts w:cs="AdvOT21bf1298.I"/>
        </w:rPr>
        <w:t>Int J Health Geogr</w:t>
      </w:r>
      <w:r w:rsidRPr="00CF5625">
        <w:rPr>
          <w:rFonts w:cs="AdvOT3c2d9f11"/>
        </w:rPr>
        <w:t>. 2009;8:24.</w:t>
      </w:r>
    </w:p>
    <w:p w14:paraId="792BCF86" w14:textId="77777777" w:rsidR="002D3497" w:rsidRPr="00CF5625" w:rsidRDefault="002D3497" w:rsidP="002D3497">
      <w:pPr>
        <w:autoSpaceDE w:val="0"/>
        <w:autoSpaceDN w:val="0"/>
        <w:adjustRightInd w:val="0"/>
        <w:spacing w:after="0" w:line="240" w:lineRule="auto"/>
        <w:rPr>
          <w:rFonts w:cs="AdvOT46dcae81"/>
        </w:rPr>
      </w:pPr>
    </w:p>
    <w:p w14:paraId="3CF4DEDE" w14:textId="77777777"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Hirsch JA, Moore KA, Clarke PJ, Rodriguez DA, Evenson KR, Brines SJ </w:t>
      </w:r>
      <w:r w:rsidRPr="00CF5625">
        <w:rPr>
          <w:rFonts w:cs="AdvOT65f8a23b.I"/>
        </w:rPr>
        <w:t xml:space="preserve">et al. </w:t>
      </w:r>
      <w:r w:rsidRPr="00CF5625">
        <w:rPr>
          <w:rFonts w:cs="AdvOT46dcae81"/>
        </w:rPr>
        <w:t xml:space="preserve">Changes in the built environment and changes in the amount of walking over time: longitudinal results from the Multi-Ethnic Study of Atherosclerosis. </w:t>
      </w:r>
      <w:r w:rsidRPr="00CF5625">
        <w:rPr>
          <w:rFonts w:cs="AdvOT65f8a23b.I"/>
        </w:rPr>
        <w:t xml:space="preserve">Am J Epidemiol </w:t>
      </w:r>
      <w:r w:rsidRPr="00CF5625">
        <w:rPr>
          <w:rFonts w:cs="AdvOT46dcae81"/>
        </w:rPr>
        <w:t xml:space="preserve">2014; </w:t>
      </w:r>
      <w:r w:rsidRPr="00CF5625">
        <w:rPr>
          <w:rFonts w:cs="AdvOT3b30f6db.B"/>
        </w:rPr>
        <w:t>180</w:t>
      </w:r>
      <w:r w:rsidRPr="00CF5625">
        <w:rPr>
          <w:rFonts w:cs="AdvOT46dcae81"/>
        </w:rPr>
        <w:t>: 799</w:t>
      </w:r>
      <w:r w:rsidRPr="00CF5625">
        <w:rPr>
          <w:rFonts w:cs="AdvOT46dcae81+20"/>
        </w:rPr>
        <w:t>–</w:t>
      </w:r>
      <w:r w:rsidRPr="00CF5625">
        <w:rPr>
          <w:rFonts w:cs="AdvOT46dcae81"/>
        </w:rPr>
        <w:t>809.</w:t>
      </w:r>
    </w:p>
    <w:p w14:paraId="3C1AEA1B" w14:textId="77777777" w:rsidR="00B95668" w:rsidRPr="00CF5625" w:rsidRDefault="00B95668" w:rsidP="00424D45">
      <w:pPr>
        <w:rPr>
          <w:rFonts w:cs="SAS Monospace"/>
          <w:b/>
        </w:rPr>
      </w:pPr>
    </w:p>
    <w:p w14:paraId="5D9793A5" w14:textId="77777777" w:rsidR="00B95668" w:rsidRPr="00CF5625" w:rsidRDefault="00B95668" w:rsidP="00424D45">
      <w:pPr>
        <w:rPr>
          <w:rFonts w:cs="SAS Monospace"/>
          <w:b/>
        </w:rPr>
      </w:pPr>
    </w:p>
    <w:p w14:paraId="0CF5FE94" w14:textId="543431A8" w:rsidR="00424D45" w:rsidRPr="00CF5625" w:rsidRDefault="00424D45" w:rsidP="00424D45">
      <w:pPr>
        <w:rPr>
          <w:rFonts w:cs="SAS Monospace"/>
          <w:b/>
        </w:rPr>
      </w:pPr>
      <w:r w:rsidRPr="00CF5625">
        <w:rPr>
          <w:rFonts w:cs="SAS Monospace"/>
          <w:b/>
        </w:rPr>
        <w:t>POPULATION DENSITY</w:t>
      </w:r>
    </w:p>
    <w:p w14:paraId="6C65B9CC" w14:textId="50458E6D" w:rsidR="002D3497" w:rsidRPr="00CF5625" w:rsidRDefault="002D3497" w:rsidP="002D3497">
      <w:pPr>
        <w:autoSpaceDE w:val="0"/>
        <w:autoSpaceDN w:val="0"/>
        <w:adjustRightInd w:val="0"/>
        <w:spacing w:after="0" w:line="240" w:lineRule="auto"/>
        <w:rPr>
          <w:rFonts w:cs="AdvOT46dcae81"/>
          <w:b/>
        </w:rPr>
      </w:pPr>
      <w:r w:rsidRPr="00CF5625">
        <w:rPr>
          <w:rFonts w:cs="AdvOT46dcae81"/>
        </w:rPr>
        <w:t xml:space="preserve">Built environment measures were also calculated during the MESA Neighborhood Ancillary Study. </w:t>
      </w:r>
      <w:r w:rsidRPr="00CF5625">
        <w:rPr>
          <w:rFonts w:cs="AdvOT3c2d9f11"/>
          <w:color w:val="000000"/>
        </w:rPr>
        <w:t xml:space="preserve">On the basis of previous frameworks (Handy 2002), we investigated 5 built environment domains: population density, zoned land-use patterns, access to destinations, public transportation, and street connectivity. Elements of these domains may make it easier for people to complete daily tasks on foot, subsequently increasing transport walking and physical activity levels and </w:t>
      </w:r>
      <w:r w:rsidRPr="00CF5625">
        <w:rPr>
          <w:rFonts w:cs="AdvOT46dcae81"/>
        </w:rPr>
        <w:t xml:space="preserve">have been shown to be most associated with walking for transportation in this cohort (Hirsch 2014).  </w:t>
      </w:r>
      <w:r w:rsidRPr="00CF5625">
        <w:rPr>
          <w:rFonts w:cs="AdvOT3c2d9f11"/>
          <w:color w:val="000000"/>
        </w:rPr>
        <w:t>Neighborhoods were de</w:t>
      </w:r>
      <w:r w:rsidRPr="00CF5625">
        <w:rPr>
          <w:rFonts w:cs="AdvOT3c2d9f11+fb"/>
          <w:color w:val="000000"/>
        </w:rPr>
        <w:t>fi</w:t>
      </w:r>
      <w:r w:rsidRPr="00CF5625">
        <w:rPr>
          <w:rFonts w:cs="AdvOT3c2d9f11"/>
          <w:color w:val="000000"/>
        </w:rPr>
        <w:t xml:space="preserve">ned by </w:t>
      </w:r>
      <w:r w:rsidRPr="00CF5625">
        <w:rPr>
          <w:rFonts w:cs="AdvOT3c2d9f11+fb"/>
          <w:color w:val="000000"/>
        </w:rPr>
        <w:t>fi</w:t>
      </w:r>
      <w:r w:rsidRPr="00CF5625">
        <w:rPr>
          <w:rFonts w:cs="AdvOT3c2d9f11"/>
          <w:color w:val="000000"/>
        </w:rPr>
        <w:t>tting Euclidean buffers around participants’ addresses. Primary results are reported for Euclidean buffers with a 1-mile radius because areas of this size are thought to best capture the relationship between built environment characteristics and walking in MESA’s diverse urban contexts. Population density was measured using population counts from the US Census</w:t>
      </w:r>
      <w:r w:rsidR="00B95668" w:rsidRPr="00CF5625">
        <w:rPr>
          <w:rFonts w:cs="AdvOT3c2d9f11"/>
          <w:color w:val="000000"/>
        </w:rPr>
        <w:t xml:space="preserve"> in 2000 and 2010</w:t>
      </w:r>
      <w:r w:rsidR="00CB0A8E" w:rsidRPr="00CF5625">
        <w:rPr>
          <w:rFonts w:cs="AdvOT3c2d9f11"/>
          <w:color w:val="000000"/>
        </w:rPr>
        <w:t xml:space="preserve"> at the block level and divided by total land area in the buffer</w:t>
      </w:r>
      <w:r w:rsidRPr="00CF5625">
        <w:rPr>
          <w:rFonts w:cs="AdvOT3c2d9f11"/>
          <w:color w:val="000000"/>
        </w:rPr>
        <w:t xml:space="preserve">. </w:t>
      </w:r>
      <w:r w:rsidR="00CB0A8E" w:rsidRPr="00CF5625">
        <w:rPr>
          <w:rFonts w:cs="NewBaskerville-Roman"/>
        </w:rPr>
        <w:t xml:space="preserve">When a block was not fully contained within a neighborhood, its population was assigned in direct proportion to the area of the block contained within the neighborhood, which assumes a uniform population density within each block. </w:t>
      </w:r>
      <w:r w:rsidRPr="00CF5625">
        <w:rPr>
          <w:rFonts w:cs="AdvOT46dcae81"/>
        </w:rPr>
        <w:t xml:space="preserve">Details on these measures can be found elsewhere (Hirsch 2014). </w:t>
      </w:r>
      <w:r w:rsidRPr="00CF5625">
        <w:rPr>
          <w:rFonts w:cs="AdvOT3c2d9f11"/>
          <w:color w:val="000000"/>
        </w:rPr>
        <w:t>Addresses of MESA participants at each examination were assigned to the data collected closest to the time of examination within that site.</w:t>
      </w:r>
    </w:p>
    <w:p w14:paraId="1595C85D" w14:textId="77777777" w:rsidR="002D3497" w:rsidRPr="00CF5625" w:rsidRDefault="002D3497" w:rsidP="002D3497">
      <w:pPr>
        <w:autoSpaceDE w:val="0"/>
        <w:autoSpaceDN w:val="0"/>
        <w:adjustRightInd w:val="0"/>
        <w:spacing w:after="0" w:line="240" w:lineRule="auto"/>
        <w:rPr>
          <w:rFonts w:cs="AdvOT46dcae81"/>
        </w:rPr>
      </w:pPr>
    </w:p>
    <w:p w14:paraId="2E345800"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lastRenderedPageBreak/>
        <w:t xml:space="preserve">Handy SL, Boarnet MG, Ewing R, et al. How the built environment affects physical activity: views from urban planning. </w:t>
      </w:r>
      <w:r w:rsidRPr="00CF5625">
        <w:rPr>
          <w:rFonts w:cs="AdvOT21bf1298.I"/>
        </w:rPr>
        <w:t>Am J Prev Med</w:t>
      </w:r>
      <w:r w:rsidRPr="00CF5625">
        <w:rPr>
          <w:rFonts w:cs="AdvOT3c2d9f11"/>
        </w:rPr>
        <w:t>. 2002;23(2 suppl):64</w:t>
      </w:r>
      <w:r w:rsidRPr="00CF5625">
        <w:rPr>
          <w:rFonts w:cs="AdvTT5843c571+20"/>
        </w:rPr>
        <w:t>–</w:t>
      </w:r>
      <w:r w:rsidRPr="00CF5625">
        <w:rPr>
          <w:rFonts w:cs="AdvOT3c2d9f11"/>
        </w:rPr>
        <w:t>73.</w:t>
      </w:r>
    </w:p>
    <w:p w14:paraId="2920C507" w14:textId="77777777" w:rsidR="002D3497" w:rsidRPr="00CF5625" w:rsidRDefault="002D3497" w:rsidP="002D3497">
      <w:pPr>
        <w:autoSpaceDE w:val="0"/>
        <w:autoSpaceDN w:val="0"/>
        <w:adjustRightInd w:val="0"/>
        <w:spacing w:after="0" w:line="240" w:lineRule="auto"/>
        <w:rPr>
          <w:rFonts w:cs="AdvOT3c2d9f11"/>
        </w:rPr>
      </w:pPr>
    </w:p>
    <w:p w14:paraId="69336CE4" w14:textId="77777777"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Hirsch JA, Moore KA, Clarke PJ, Rodriguez DA, Evenson KR, Brines SJ </w:t>
      </w:r>
      <w:r w:rsidRPr="00CF5625">
        <w:rPr>
          <w:rFonts w:cs="AdvOT65f8a23b.I"/>
        </w:rPr>
        <w:t xml:space="preserve">et al. </w:t>
      </w:r>
      <w:r w:rsidRPr="00CF5625">
        <w:rPr>
          <w:rFonts w:cs="AdvOT46dcae81"/>
        </w:rPr>
        <w:t xml:space="preserve">Changes in the built environment and changes in the amount of walking over time: longitudinal results from the Multi-Ethnic Study of Atherosclerosis. </w:t>
      </w:r>
      <w:r w:rsidRPr="00CF5625">
        <w:rPr>
          <w:rFonts w:cs="AdvOT65f8a23b.I"/>
        </w:rPr>
        <w:t xml:space="preserve">Am J Epidemiol </w:t>
      </w:r>
      <w:r w:rsidRPr="00CF5625">
        <w:rPr>
          <w:rFonts w:cs="AdvOT46dcae81"/>
        </w:rPr>
        <w:t xml:space="preserve">2014; </w:t>
      </w:r>
      <w:r w:rsidRPr="00CF5625">
        <w:rPr>
          <w:rFonts w:cs="AdvOT3b30f6db.B"/>
        </w:rPr>
        <w:t>180</w:t>
      </w:r>
      <w:r w:rsidRPr="00CF5625">
        <w:rPr>
          <w:rFonts w:cs="AdvOT46dcae81"/>
        </w:rPr>
        <w:t>: 799</w:t>
      </w:r>
      <w:r w:rsidRPr="00CF5625">
        <w:rPr>
          <w:rFonts w:cs="AdvOT46dcae81+20"/>
        </w:rPr>
        <w:t>–</w:t>
      </w:r>
      <w:r w:rsidRPr="00CF5625">
        <w:rPr>
          <w:rFonts w:cs="AdvOT46dcae81"/>
        </w:rPr>
        <w:t>809.</w:t>
      </w:r>
    </w:p>
    <w:p w14:paraId="6E988651" w14:textId="77777777" w:rsidR="002D3497" w:rsidRPr="00CF5625" w:rsidRDefault="002D3497" w:rsidP="00424D45">
      <w:pPr>
        <w:rPr>
          <w:rFonts w:cs="SAS Monospace"/>
          <w:b/>
        </w:rPr>
      </w:pPr>
    </w:p>
    <w:p w14:paraId="7EEC491F" w14:textId="77777777" w:rsidR="00B95668" w:rsidRPr="00CF5625" w:rsidRDefault="00B95668" w:rsidP="00B95668">
      <w:pPr>
        <w:rPr>
          <w:rFonts w:cs="SAS Monospace"/>
          <w:b/>
        </w:rPr>
      </w:pPr>
    </w:p>
    <w:p w14:paraId="4463FBFF" w14:textId="4AC73A9B" w:rsidR="00424D45" w:rsidRPr="00CF5625" w:rsidRDefault="00424D45" w:rsidP="00424D45">
      <w:pPr>
        <w:rPr>
          <w:rFonts w:cs="SAS Monospace"/>
          <w:b/>
        </w:rPr>
      </w:pPr>
      <w:r w:rsidRPr="00CF5625">
        <w:rPr>
          <w:rFonts w:cs="SAS Monospace"/>
          <w:b/>
        </w:rPr>
        <w:t>LAND USE</w:t>
      </w:r>
    </w:p>
    <w:p w14:paraId="35396049" w14:textId="043E5EA8" w:rsidR="007B5A1A" w:rsidRPr="00CF5625" w:rsidRDefault="007B5A1A" w:rsidP="007B5A1A">
      <w:pPr>
        <w:autoSpaceDE w:val="0"/>
        <w:autoSpaceDN w:val="0"/>
        <w:adjustRightInd w:val="0"/>
        <w:spacing w:after="0" w:line="240" w:lineRule="auto"/>
        <w:rPr>
          <w:rFonts w:cs="AdvOT46dcae81"/>
        </w:rPr>
      </w:pPr>
      <w:r w:rsidRPr="00CF5625">
        <w:rPr>
          <w:rFonts w:cs="AdvOT46dcae81"/>
        </w:rPr>
        <w:t xml:space="preserve">Built environment measures were also calculated during the MESA Neighborhood Ancillary Study. </w:t>
      </w:r>
      <w:r w:rsidR="002D3497" w:rsidRPr="00CF5625">
        <w:rPr>
          <w:rFonts w:cs="AdvOT3c2d9f11"/>
        </w:rPr>
        <w:t xml:space="preserve">On the basis of previous frameworks (Handy 2002), we investigated 5 built environment domains: population density, zoned land-use patterns, access to destinations, public transportation, and street connectivity. Elements of these domains may make it easier for people to complete daily tasks on foot, subsequently increasing transport walking and physical activity levels and </w:t>
      </w:r>
      <w:r w:rsidRPr="00CF5625">
        <w:rPr>
          <w:rFonts w:cs="AdvOT46dcae81"/>
        </w:rPr>
        <w:t xml:space="preserve">have been shown to be most associated with walking for transportation in this cohort (Hirsch 2014).  </w:t>
      </w:r>
      <w:r w:rsidR="002D3497" w:rsidRPr="00CF5625">
        <w:rPr>
          <w:rFonts w:cs="AdvOT3c2d9f11"/>
        </w:rPr>
        <w:t>Data were obtained from regional governments or commercially available business listings and processed using ArcGIS 10.1 (Esri, Redlands, California). Neighborhoods were de</w:t>
      </w:r>
      <w:r w:rsidR="002D3497" w:rsidRPr="00CF5625">
        <w:rPr>
          <w:rFonts w:cs="AdvOT3c2d9f11+fb"/>
        </w:rPr>
        <w:t>fi</w:t>
      </w:r>
      <w:r w:rsidR="002D3497" w:rsidRPr="00CF5625">
        <w:rPr>
          <w:rFonts w:cs="AdvOT3c2d9f11"/>
        </w:rPr>
        <w:t xml:space="preserve">ned by </w:t>
      </w:r>
      <w:r w:rsidR="002D3497" w:rsidRPr="00CF5625">
        <w:rPr>
          <w:rFonts w:cs="AdvOT3c2d9f11+fb"/>
        </w:rPr>
        <w:t>fi</w:t>
      </w:r>
      <w:r w:rsidR="002D3497" w:rsidRPr="00CF5625">
        <w:rPr>
          <w:rFonts w:cs="AdvOT3c2d9f11"/>
        </w:rPr>
        <w:t xml:space="preserve">tting Euclidean buffers around participants’ addresses. Primary results are reported for Euclidean buffers with a 1-mile radius because areas of this size are thought to best capture the relationship between built environment characteristics and walking in MESA’s diverse urban contexts. Land-use parcel </w:t>
      </w:r>
      <w:r w:rsidR="002D3497" w:rsidRPr="00CF5625">
        <w:rPr>
          <w:rFonts w:cs="AdvOT3c2d9f11+fb"/>
        </w:rPr>
        <w:t>fi</w:t>
      </w:r>
      <w:r w:rsidR="002D3497" w:rsidRPr="00CF5625">
        <w:rPr>
          <w:rFonts w:cs="AdvOT3c2d9f11"/>
        </w:rPr>
        <w:t>les were obtained from local planning departments, city governments, and regional entities</w:t>
      </w:r>
      <w:r w:rsidR="00CB0A8E" w:rsidRPr="00CF5625">
        <w:rPr>
          <w:rFonts w:cs="AdvOT3c2d9f11"/>
        </w:rPr>
        <w:t xml:space="preserve"> in the six study sites</w:t>
      </w:r>
      <w:r w:rsidR="002D3497" w:rsidRPr="00CF5625">
        <w:rPr>
          <w:rFonts w:cs="AdvOT3c2d9f11"/>
        </w:rPr>
        <w:t xml:space="preserve">. </w:t>
      </w:r>
      <w:r w:rsidR="00CB0A8E" w:rsidRPr="00CF5625">
        <w:rPr>
          <w:rFonts w:cs="NewBaskerville-Roman"/>
        </w:rPr>
        <w:t xml:space="preserve">The data were dated between 2001 and 2012 depending on the site.  </w:t>
      </w:r>
      <w:r w:rsidR="002D3497" w:rsidRPr="00CF5625">
        <w:rPr>
          <w:rFonts w:cs="AdvOT3c2d9f11"/>
        </w:rPr>
        <w:t>Two investigators independently classi</w:t>
      </w:r>
      <w:r w:rsidR="002D3497" w:rsidRPr="00CF5625">
        <w:rPr>
          <w:rFonts w:cs="AdvOT3c2d9f11+fb"/>
        </w:rPr>
        <w:t>fi</w:t>
      </w:r>
      <w:r w:rsidR="002D3497" w:rsidRPr="00CF5625">
        <w:rPr>
          <w:rFonts w:cs="AdvOT3c2d9f11"/>
        </w:rPr>
        <w:t>ed parcels into 2 mutually exclusive land use categories (retail and residential) based on land-use codes</w:t>
      </w:r>
      <w:r w:rsidR="00B95668" w:rsidRPr="00CF5625">
        <w:rPr>
          <w:rFonts w:cs="AdvOT3c2d9f11"/>
        </w:rPr>
        <w:t xml:space="preserve"> </w:t>
      </w:r>
      <w:r w:rsidR="00B95668" w:rsidRPr="00CF5625">
        <w:t>and any discrepancies were adjudicated by a third investigator</w:t>
      </w:r>
      <w:r w:rsidR="002D3497" w:rsidRPr="00CF5625">
        <w:rPr>
          <w:rFonts w:cs="AdvOT3c2d9f11"/>
        </w:rPr>
        <w:t xml:space="preserve">. </w:t>
      </w:r>
      <w:r w:rsidR="00CB0A8E" w:rsidRPr="00CF5625">
        <w:rPr>
          <w:rFonts w:cs="NewBaskerville-Roman"/>
        </w:rPr>
        <w:t xml:space="preserve">Availability of retail in each neighborhood was calculated using the percentage of land area in parcels that contain retail uses. Availability of residential in each neighborhood was calculated using the percentage of land area in parcels that contain primarily residential uses. </w:t>
      </w:r>
      <w:r w:rsidR="002D3497" w:rsidRPr="00CF5625">
        <w:rPr>
          <w:rFonts w:cs="AdvOT3c2d9f11"/>
        </w:rPr>
        <w:t xml:space="preserve">Areas with higher percentages of land zoned for retail use and lower percentages zoned for residential use were considered to have a higher land-use mix. </w:t>
      </w:r>
      <w:r w:rsidRPr="00CF5625">
        <w:rPr>
          <w:rFonts w:cs="AdvOT46dcae81"/>
        </w:rPr>
        <w:t>Details on these measures can be found elsewhere (Hirsch 2014</w:t>
      </w:r>
      <w:r w:rsidR="00B95668" w:rsidRPr="00CF5625">
        <w:rPr>
          <w:rFonts w:cs="AdvOT46dcae81"/>
        </w:rPr>
        <w:t>; Rodriguez 2009</w:t>
      </w:r>
      <w:r w:rsidRPr="00CF5625">
        <w:rPr>
          <w:rFonts w:cs="AdvOT46dcae81"/>
        </w:rPr>
        <w:t>).</w:t>
      </w:r>
      <w:r w:rsidR="002D3497" w:rsidRPr="00CF5625">
        <w:rPr>
          <w:rFonts w:cs="AdvOT46dcae81"/>
        </w:rPr>
        <w:t xml:space="preserve"> </w:t>
      </w:r>
      <w:r w:rsidR="002D3497" w:rsidRPr="00CF5625">
        <w:rPr>
          <w:rFonts w:cs="AdvOT3c2d9f11"/>
        </w:rPr>
        <w:t>Addresses of MESA participants at each examination were assigned to the data collected closest to the time of examination within that site. For participants who moved outside of the study areas, we had no data on built environment measures after the move.</w:t>
      </w:r>
    </w:p>
    <w:p w14:paraId="2C98655F" w14:textId="77777777" w:rsidR="007B5A1A" w:rsidRPr="00CF5625" w:rsidRDefault="007B5A1A" w:rsidP="007B5A1A">
      <w:pPr>
        <w:autoSpaceDE w:val="0"/>
        <w:autoSpaceDN w:val="0"/>
        <w:adjustRightInd w:val="0"/>
        <w:spacing w:after="0" w:line="240" w:lineRule="auto"/>
        <w:rPr>
          <w:rFonts w:cs="AdvOT46dcae81"/>
        </w:rPr>
      </w:pPr>
    </w:p>
    <w:p w14:paraId="04890A42"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Handy SL, Boarnet MG, Ewing R, et al. How the built environment affects physical activity: views from urban planning. </w:t>
      </w:r>
      <w:r w:rsidRPr="00CF5625">
        <w:rPr>
          <w:rFonts w:cs="AdvOT21bf1298.I"/>
        </w:rPr>
        <w:t>Am J Prev Med</w:t>
      </w:r>
      <w:r w:rsidRPr="00CF5625">
        <w:rPr>
          <w:rFonts w:cs="AdvOT3c2d9f11"/>
        </w:rPr>
        <w:t>. 2002;23(2 suppl):64</w:t>
      </w:r>
      <w:r w:rsidRPr="00CF5625">
        <w:rPr>
          <w:rFonts w:cs="AdvTT5843c571+20"/>
        </w:rPr>
        <w:t>–</w:t>
      </w:r>
      <w:r w:rsidRPr="00CF5625">
        <w:rPr>
          <w:rFonts w:cs="AdvOT3c2d9f11"/>
        </w:rPr>
        <w:t>73.</w:t>
      </w:r>
    </w:p>
    <w:p w14:paraId="185B4418" w14:textId="77777777" w:rsidR="002D3497" w:rsidRPr="00CF5625" w:rsidRDefault="002D3497" w:rsidP="002D3497">
      <w:pPr>
        <w:autoSpaceDE w:val="0"/>
        <w:autoSpaceDN w:val="0"/>
        <w:adjustRightInd w:val="0"/>
        <w:spacing w:after="0" w:line="240" w:lineRule="auto"/>
        <w:rPr>
          <w:rFonts w:cs="AdvOT3c2d9f11"/>
        </w:rPr>
      </w:pPr>
    </w:p>
    <w:p w14:paraId="3E7634BD" w14:textId="57D21D50" w:rsidR="0000615F" w:rsidRDefault="007B5A1A" w:rsidP="0000615F">
      <w:pPr>
        <w:autoSpaceDE w:val="0"/>
        <w:autoSpaceDN w:val="0"/>
        <w:adjustRightInd w:val="0"/>
        <w:spacing w:after="0" w:line="240" w:lineRule="auto"/>
        <w:rPr>
          <w:rFonts w:cs="AdvOT46dcae81"/>
        </w:rPr>
      </w:pPr>
      <w:r w:rsidRPr="00CF5625">
        <w:rPr>
          <w:rFonts w:cs="AdvOT46dcae81"/>
        </w:rPr>
        <w:t xml:space="preserve">Hirsch JA, Moore KA, Clarke PJ, Rodriguez DA, Evenson KR, Brines SJ </w:t>
      </w:r>
      <w:r w:rsidRPr="00CF5625">
        <w:rPr>
          <w:rFonts w:cs="AdvOT65f8a23b.I"/>
        </w:rPr>
        <w:t xml:space="preserve">et al. </w:t>
      </w:r>
      <w:r w:rsidRPr="00CF5625">
        <w:rPr>
          <w:rFonts w:cs="AdvOT46dcae81"/>
        </w:rPr>
        <w:t xml:space="preserve">Changes in the built environment and changes in the amount of walking over time: longitudinal results from the Multi-Ethnic Study of Atherosclerosis. </w:t>
      </w:r>
      <w:r w:rsidRPr="00CF5625">
        <w:rPr>
          <w:rFonts w:cs="AdvOT65f8a23b.I"/>
        </w:rPr>
        <w:t xml:space="preserve">Am J Epidemiol </w:t>
      </w:r>
      <w:r w:rsidRPr="00CF5625">
        <w:rPr>
          <w:rFonts w:cs="AdvOT46dcae81"/>
        </w:rPr>
        <w:t xml:space="preserve">2014; </w:t>
      </w:r>
      <w:r w:rsidRPr="00CF5625">
        <w:rPr>
          <w:rFonts w:cs="AdvOT3b30f6db.B"/>
        </w:rPr>
        <w:t>180</w:t>
      </w:r>
      <w:r w:rsidRPr="00CF5625">
        <w:rPr>
          <w:rFonts w:cs="AdvOT46dcae81"/>
        </w:rPr>
        <w:t>: 799</w:t>
      </w:r>
      <w:r w:rsidRPr="00CF5625">
        <w:rPr>
          <w:rFonts w:cs="AdvOT46dcae81+20"/>
        </w:rPr>
        <w:t>–</w:t>
      </w:r>
      <w:r w:rsidRPr="00CF5625">
        <w:rPr>
          <w:rFonts w:cs="AdvOT46dcae81"/>
        </w:rPr>
        <w:t>809.</w:t>
      </w:r>
    </w:p>
    <w:p w14:paraId="32BB5A0F" w14:textId="77777777" w:rsidR="0000615F" w:rsidRDefault="0000615F" w:rsidP="0000615F">
      <w:pPr>
        <w:autoSpaceDE w:val="0"/>
        <w:autoSpaceDN w:val="0"/>
        <w:adjustRightInd w:val="0"/>
        <w:spacing w:after="0" w:line="240" w:lineRule="auto"/>
      </w:pPr>
    </w:p>
    <w:p w14:paraId="4C011AD5" w14:textId="09CFF60A" w:rsidR="00B95668" w:rsidRPr="00CF5625" w:rsidRDefault="00B95668" w:rsidP="00B95668">
      <w:r w:rsidRPr="00CF5625">
        <w:t>Rodriguez,</w:t>
      </w:r>
      <w:r w:rsidR="00AB585A">
        <w:t xml:space="preserve"> </w:t>
      </w:r>
      <w:r w:rsidRPr="00CF5625">
        <w:t>D.,</w:t>
      </w:r>
      <w:r w:rsidR="00AB585A">
        <w:t xml:space="preserve"> </w:t>
      </w:r>
      <w:r w:rsidRPr="00CF5625">
        <w:t>Evenson,</w:t>
      </w:r>
      <w:r w:rsidR="00AB585A">
        <w:t xml:space="preserve"> </w:t>
      </w:r>
      <w:r w:rsidRPr="00CF5625">
        <w:t>K.,</w:t>
      </w:r>
      <w:r w:rsidR="00AB585A">
        <w:t xml:space="preserve"> </w:t>
      </w:r>
      <w:r w:rsidRPr="00CF5625">
        <w:t>DiezRoux,</w:t>
      </w:r>
      <w:r w:rsidR="00AB585A">
        <w:t xml:space="preserve"> </w:t>
      </w:r>
      <w:r w:rsidRPr="00CF5625">
        <w:t>A.,</w:t>
      </w:r>
      <w:r w:rsidR="00AB585A">
        <w:t xml:space="preserve"> B</w:t>
      </w:r>
      <w:r w:rsidRPr="00CF5625">
        <w:t>rines,</w:t>
      </w:r>
      <w:r w:rsidR="00AB585A">
        <w:t xml:space="preserve"> </w:t>
      </w:r>
      <w:r w:rsidRPr="00CF5625">
        <w:t>S.,</w:t>
      </w:r>
      <w:r w:rsidR="00AB585A">
        <w:t xml:space="preserve"> </w:t>
      </w:r>
      <w:r w:rsidRPr="00CF5625">
        <w:t>2009.</w:t>
      </w:r>
      <w:r w:rsidR="00AB585A">
        <w:t xml:space="preserve"> </w:t>
      </w:r>
      <w:r w:rsidRPr="00CF5625">
        <w:t>Land</w:t>
      </w:r>
      <w:r w:rsidR="00AB585A">
        <w:t xml:space="preserve"> </w:t>
      </w:r>
      <w:r w:rsidRPr="00CF5625">
        <w:t>use,</w:t>
      </w:r>
      <w:r w:rsidR="00AB585A">
        <w:t xml:space="preserve"> </w:t>
      </w:r>
      <w:r w:rsidRPr="00CF5625">
        <w:t>residential density,</w:t>
      </w:r>
      <w:r w:rsidR="00AB585A">
        <w:t xml:space="preserve"> </w:t>
      </w:r>
      <w:r w:rsidRPr="00CF5625">
        <w:t>and</w:t>
      </w:r>
      <w:r w:rsidR="00AB585A">
        <w:t xml:space="preserve"> </w:t>
      </w:r>
      <w:r w:rsidRPr="00CF5625">
        <w:t>walking:</w:t>
      </w:r>
      <w:r w:rsidR="00AB585A">
        <w:t xml:space="preserve"> </w:t>
      </w:r>
      <w:r w:rsidRPr="00CF5625">
        <w:t>The</w:t>
      </w:r>
      <w:r w:rsidR="00AB585A">
        <w:t xml:space="preserve"> </w:t>
      </w:r>
      <w:r w:rsidRPr="00CF5625">
        <w:t>Multi</w:t>
      </w:r>
      <w:r w:rsidRPr="00CF5625">
        <w:rPr>
          <w:rFonts w:cs="Cambria Math"/>
        </w:rPr>
        <w:t>‐</w:t>
      </w:r>
      <w:r w:rsidRPr="00CF5625">
        <w:t>Ethnic Study</w:t>
      </w:r>
      <w:r w:rsidR="00AB585A">
        <w:t xml:space="preserve"> </w:t>
      </w:r>
      <w:r w:rsidRPr="00CF5625">
        <w:t>of</w:t>
      </w:r>
      <w:r w:rsidR="00AB585A">
        <w:t xml:space="preserve"> </w:t>
      </w:r>
      <w:r w:rsidRPr="00CF5625">
        <w:t>Atherosclerosis.</w:t>
      </w:r>
      <w:r w:rsidR="00AB585A">
        <w:t xml:space="preserve"> </w:t>
      </w:r>
      <w:r w:rsidRPr="00CF5625">
        <w:t>Am.</w:t>
      </w:r>
      <w:r w:rsidR="00AB585A">
        <w:t xml:space="preserve"> </w:t>
      </w:r>
      <w:r w:rsidRPr="00CF5625">
        <w:t>J.Prev. Med. 37(5),397</w:t>
      </w:r>
      <w:r w:rsidRPr="00CF5625">
        <w:rPr>
          <w:rFonts w:cs="FKHDK P+ Adv O T 863180fb+ 20"/>
        </w:rPr>
        <w:t>–</w:t>
      </w:r>
      <w:r w:rsidRPr="00CF5625">
        <w:t>404.</w:t>
      </w:r>
    </w:p>
    <w:p w14:paraId="293AB366" w14:textId="77777777" w:rsidR="00B95668" w:rsidRPr="00CF5625" w:rsidRDefault="00B95668" w:rsidP="007B5A1A">
      <w:pPr>
        <w:rPr>
          <w:rFonts w:cs="AdvOT46dcae81"/>
        </w:rPr>
      </w:pPr>
    </w:p>
    <w:p w14:paraId="3BD0A70B" w14:textId="77777777" w:rsidR="002D3497" w:rsidRPr="00CF5625" w:rsidRDefault="002D3497" w:rsidP="007B5A1A">
      <w:pPr>
        <w:rPr>
          <w:rFonts w:cs="AdvOT46dcae81"/>
        </w:rPr>
      </w:pPr>
    </w:p>
    <w:p w14:paraId="28D66BCE" w14:textId="44F28851" w:rsidR="00424D45" w:rsidRPr="00CF5625" w:rsidRDefault="00424D45" w:rsidP="00424D45">
      <w:pPr>
        <w:rPr>
          <w:rFonts w:cs="SAS Monospace"/>
          <w:b/>
        </w:rPr>
      </w:pPr>
      <w:r w:rsidRPr="00CF5625">
        <w:rPr>
          <w:rFonts w:cs="SAS Monospace"/>
          <w:b/>
        </w:rPr>
        <w:lastRenderedPageBreak/>
        <w:t>PUBLIC TRANSPORTATION</w:t>
      </w:r>
    </w:p>
    <w:p w14:paraId="00DBD923" w14:textId="0132FFD3"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Built environment measures were also calculated during the MESA Neighborhood Ancillary Study. </w:t>
      </w:r>
      <w:r w:rsidRPr="00CF5625">
        <w:rPr>
          <w:rFonts w:cs="AdvOT3c2d9f11"/>
          <w:color w:val="000000"/>
        </w:rPr>
        <w:t xml:space="preserve">On the basis of previous frameworks (Handy 2002), we investigated 5 built environment domains: population density, zoned land-use patterns, access to destinations, public transportation, and street connectivity. Elements of these domains may make it easier for people to complete daily tasks on foot, subsequently increasing transport walking and physical activity levels and </w:t>
      </w:r>
      <w:r w:rsidRPr="00CF5625">
        <w:rPr>
          <w:rFonts w:cs="AdvOT46dcae81"/>
        </w:rPr>
        <w:t xml:space="preserve">have been shown to be most associated with walking for transportation in this cohort (Hirsch 2014).  </w:t>
      </w:r>
      <w:r w:rsidRPr="00CF5625">
        <w:rPr>
          <w:rFonts w:cs="AdvOT3c2d9f11"/>
          <w:color w:val="000000"/>
        </w:rPr>
        <w:t xml:space="preserve">Data were obtained from regional governments or commercially available business listings and processed using ArcGIS 10.1 (Esri, Redlands, California). Files containing data on bus routes were obtained from local planning departments, city governments, and regional entities. </w:t>
      </w:r>
      <w:r w:rsidR="00E60241">
        <w:rPr>
          <w:rFonts w:cs="AdvOT3c2d9f11"/>
          <w:color w:val="000000"/>
        </w:rPr>
        <w:t xml:space="preserve">Distance to nearest bus line was calculated as the Euclidean distance in meters. </w:t>
      </w:r>
      <w:r w:rsidRPr="00CF5625">
        <w:rPr>
          <w:rFonts w:cs="AdvOT46dcae81"/>
        </w:rPr>
        <w:t xml:space="preserve">Details on these measures can be found elsewhere (Hirsch 2014). </w:t>
      </w:r>
      <w:r w:rsidRPr="00CF5625">
        <w:rPr>
          <w:rFonts w:cs="AdvOT3c2d9f11"/>
          <w:color w:val="000000"/>
        </w:rPr>
        <w:t>Addresses of MESA participants at each examination were assigned to the data collected closest to the time of examination within that site. For participants who moved outside of the study areas, we had no data on built environment measures after the move.</w:t>
      </w:r>
    </w:p>
    <w:p w14:paraId="0D25BA75" w14:textId="77777777" w:rsidR="002D3497" w:rsidRPr="00CF5625" w:rsidRDefault="002D3497" w:rsidP="002D3497">
      <w:pPr>
        <w:autoSpaceDE w:val="0"/>
        <w:autoSpaceDN w:val="0"/>
        <w:adjustRightInd w:val="0"/>
        <w:spacing w:after="0" w:line="240" w:lineRule="auto"/>
        <w:rPr>
          <w:rFonts w:cs="AdvOT46dcae81"/>
        </w:rPr>
      </w:pPr>
    </w:p>
    <w:p w14:paraId="7B6ECA75" w14:textId="77777777" w:rsidR="002D3497" w:rsidRPr="00CF5625" w:rsidRDefault="002D3497" w:rsidP="002D3497">
      <w:pPr>
        <w:autoSpaceDE w:val="0"/>
        <w:autoSpaceDN w:val="0"/>
        <w:adjustRightInd w:val="0"/>
        <w:spacing w:after="0" w:line="240" w:lineRule="auto"/>
        <w:rPr>
          <w:rFonts w:cs="AdvOT3c2d9f11"/>
        </w:rPr>
      </w:pPr>
      <w:r w:rsidRPr="00CF5625">
        <w:rPr>
          <w:rFonts w:cs="AdvOT3c2d9f11"/>
        </w:rPr>
        <w:t xml:space="preserve">Handy SL, Boarnet MG, Ewing R, et al. How the built environment affects physical activity: views from urban planning. </w:t>
      </w:r>
      <w:r w:rsidRPr="00CF5625">
        <w:rPr>
          <w:rFonts w:cs="AdvOT21bf1298.I"/>
        </w:rPr>
        <w:t>Am J Prev Med</w:t>
      </w:r>
      <w:r w:rsidRPr="00CF5625">
        <w:rPr>
          <w:rFonts w:cs="AdvOT3c2d9f11"/>
        </w:rPr>
        <w:t>. 2002;23(2 suppl):64</w:t>
      </w:r>
      <w:r w:rsidRPr="00CF5625">
        <w:rPr>
          <w:rFonts w:cs="AdvTT5843c571+20"/>
        </w:rPr>
        <w:t>–</w:t>
      </w:r>
      <w:r w:rsidRPr="00CF5625">
        <w:rPr>
          <w:rFonts w:cs="AdvOT3c2d9f11"/>
        </w:rPr>
        <w:t>73.</w:t>
      </w:r>
    </w:p>
    <w:p w14:paraId="6459D96F" w14:textId="77777777" w:rsidR="002D3497" w:rsidRPr="00CF5625" w:rsidRDefault="002D3497" w:rsidP="002D3497">
      <w:pPr>
        <w:autoSpaceDE w:val="0"/>
        <w:autoSpaceDN w:val="0"/>
        <w:adjustRightInd w:val="0"/>
        <w:spacing w:after="0" w:line="240" w:lineRule="auto"/>
        <w:rPr>
          <w:rFonts w:cs="AdvOT3c2d9f11"/>
        </w:rPr>
      </w:pPr>
    </w:p>
    <w:p w14:paraId="65F76132" w14:textId="77777777" w:rsidR="002D3497" w:rsidRPr="00CF5625" w:rsidRDefault="002D3497" w:rsidP="002D3497">
      <w:pPr>
        <w:autoSpaceDE w:val="0"/>
        <w:autoSpaceDN w:val="0"/>
        <w:adjustRightInd w:val="0"/>
        <w:spacing w:after="0" w:line="240" w:lineRule="auto"/>
        <w:rPr>
          <w:rFonts w:cs="AdvOT46dcae81"/>
        </w:rPr>
      </w:pPr>
      <w:r w:rsidRPr="00CF5625">
        <w:rPr>
          <w:rFonts w:cs="AdvOT46dcae81"/>
        </w:rPr>
        <w:t xml:space="preserve">Hirsch JA, Moore KA, Clarke PJ, Rodriguez DA, Evenson KR, Brines SJ </w:t>
      </w:r>
      <w:r w:rsidRPr="00CF5625">
        <w:rPr>
          <w:rFonts w:cs="AdvOT65f8a23b.I"/>
        </w:rPr>
        <w:t xml:space="preserve">et al. </w:t>
      </w:r>
      <w:r w:rsidRPr="00CF5625">
        <w:rPr>
          <w:rFonts w:cs="AdvOT46dcae81"/>
        </w:rPr>
        <w:t xml:space="preserve">Changes in the built environment and changes in the amount of walking over time: longitudinal results from the Multi-Ethnic Study of Atherosclerosis. </w:t>
      </w:r>
      <w:r w:rsidRPr="00CF5625">
        <w:rPr>
          <w:rFonts w:cs="AdvOT65f8a23b.I"/>
        </w:rPr>
        <w:t xml:space="preserve">Am J Epidemiol </w:t>
      </w:r>
      <w:r w:rsidRPr="00CF5625">
        <w:rPr>
          <w:rFonts w:cs="AdvOT46dcae81"/>
        </w:rPr>
        <w:t xml:space="preserve">2014; </w:t>
      </w:r>
      <w:r w:rsidRPr="00CF5625">
        <w:rPr>
          <w:rFonts w:cs="AdvOT3b30f6db.B"/>
        </w:rPr>
        <w:t>180</w:t>
      </w:r>
      <w:r w:rsidRPr="00CF5625">
        <w:rPr>
          <w:rFonts w:cs="AdvOT46dcae81"/>
        </w:rPr>
        <w:t>: 799</w:t>
      </w:r>
      <w:r w:rsidRPr="00CF5625">
        <w:rPr>
          <w:rFonts w:cs="AdvOT46dcae81+20"/>
        </w:rPr>
        <w:t>–</w:t>
      </w:r>
      <w:r w:rsidRPr="00CF5625">
        <w:rPr>
          <w:rFonts w:cs="AdvOT46dcae81"/>
        </w:rPr>
        <w:t>809.</w:t>
      </w:r>
    </w:p>
    <w:p w14:paraId="2382C07C" w14:textId="77777777" w:rsidR="002D3497" w:rsidRDefault="002D3497" w:rsidP="00424D45">
      <w:pPr>
        <w:rPr>
          <w:rFonts w:cs="SAS Monospace"/>
          <w:b/>
        </w:rPr>
      </w:pPr>
    </w:p>
    <w:p w14:paraId="469647D5" w14:textId="77777777" w:rsidR="00EC2640" w:rsidRPr="00CF5625" w:rsidRDefault="00EC2640" w:rsidP="00424D45">
      <w:pPr>
        <w:rPr>
          <w:rFonts w:cs="SAS Monospace"/>
          <w:b/>
        </w:rPr>
      </w:pPr>
    </w:p>
    <w:p w14:paraId="6407D858" w14:textId="26571BAC" w:rsidR="00424D45" w:rsidRPr="00CF5625" w:rsidRDefault="00424D45" w:rsidP="00424D45">
      <w:pPr>
        <w:rPr>
          <w:rFonts w:cs="SAS Monospace"/>
          <w:b/>
        </w:rPr>
      </w:pPr>
      <w:r w:rsidRPr="00CF5625">
        <w:rPr>
          <w:rFonts w:cs="SAS Monospace"/>
          <w:b/>
        </w:rPr>
        <w:t>BUILT ENVIRONMENT FACTOR SCORES</w:t>
      </w:r>
    </w:p>
    <w:p w14:paraId="15D28A16" w14:textId="0BD77C0A" w:rsidR="0020775E" w:rsidRPr="00CF5625" w:rsidRDefault="0020775E" w:rsidP="0020775E">
      <w:pPr>
        <w:autoSpaceDE w:val="0"/>
        <w:autoSpaceDN w:val="0"/>
        <w:adjustRightInd w:val="0"/>
        <w:spacing w:after="0" w:line="240" w:lineRule="auto"/>
        <w:rPr>
          <w:rFonts w:cs="AdvP6975"/>
          <w:color w:val="231F20"/>
        </w:rPr>
      </w:pPr>
      <w:r w:rsidRPr="00CF5625">
        <w:rPr>
          <w:rFonts w:cs="AdvP6975"/>
          <w:color w:val="231F20"/>
        </w:rPr>
        <w:t>Based on previous frameworks (Handy 2002) we investigated six built environment measures across five built environment domains: population density, land-use patterns (zoned retail and residential uses), access to destinations, public transportation, and street patterns. Data were obtained from regional governments and commercially available business listings and processed using ESRI ArcGIS 10.1 (Redlands, CA). Neighborhoods were defined as a 1 mile buffer around participants’ addresses as they may represent the most salient environment across MESA’s diverse urban contexts. When data was not available for a given year, it was interpolated using a linear estimate between the two nearest measurements. Participants who moved outside of the study areas do not have built environment data post-move and are only included in analyses pre-move. As built environment metrics may be inter-related and highly collinear, principal component analysis was used to identify their underlying factors and compute composite scores. A composite score was created for each factor based on the weighted sum of the standardized items with heavy loadings (</w:t>
      </w:r>
      <w:r w:rsidRPr="00CF5625">
        <w:rPr>
          <w:rFonts w:cs="AdvP4C4E51"/>
          <w:color w:val="231F20"/>
        </w:rPr>
        <w:t>&gt;</w:t>
      </w:r>
      <w:r w:rsidRPr="00CF5625">
        <w:rPr>
          <w:rFonts w:cs="AdvP6975"/>
          <w:color w:val="231F20"/>
        </w:rPr>
        <w:t>0.5) for that factor.</w:t>
      </w:r>
      <w:r w:rsidR="00784B26">
        <w:rPr>
          <w:rFonts w:cs="AdvP6975"/>
          <w:color w:val="231F20"/>
        </w:rPr>
        <w:t xml:space="preserve"> Additional information can be found elsewhere (Hirsch 2014).</w:t>
      </w:r>
    </w:p>
    <w:p w14:paraId="490838D8" w14:textId="77777777" w:rsidR="0020775E" w:rsidRPr="00CF5625" w:rsidRDefault="0020775E" w:rsidP="0020775E">
      <w:pPr>
        <w:autoSpaceDE w:val="0"/>
        <w:autoSpaceDN w:val="0"/>
        <w:adjustRightInd w:val="0"/>
        <w:spacing w:after="0" w:line="240" w:lineRule="auto"/>
        <w:rPr>
          <w:rFonts w:cs="AdvP6975"/>
          <w:color w:val="231F20"/>
        </w:rPr>
      </w:pPr>
    </w:p>
    <w:p w14:paraId="644579FA" w14:textId="769266F8" w:rsidR="0020775E" w:rsidRPr="00CF5625" w:rsidRDefault="0020775E" w:rsidP="0020775E">
      <w:pPr>
        <w:autoSpaceDE w:val="0"/>
        <w:autoSpaceDN w:val="0"/>
        <w:adjustRightInd w:val="0"/>
        <w:spacing w:after="0" w:line="240" w:lineRule="auto"/>
        <w:rPr>
          <w:rFonts w:cs="AdvP6975"/>
          <w:color w:val="231F20"/>
        </w:rPr>
      </w:pPr>
      <w:r w:rsidRPr="00CF5625">
        <w:rPr>
          <w:rFonts w:cs="AdvP6975"/>
          <w:color w:val="231F20"/>
        </w:rPr>
        <w:t xml:space="preserve">Handy SL, Boarnet MG, Ewing R, Killingsworth RE. How the built environment affects physical activity: views from urban planning. </w:t>
      </w:r>
      <w:r w:rsidRPr="00CF5625">
        <w:rPr>
          <w:rFonts w:cs="AdvP696A"/>
          <w:color w:val="231F20"/>
        </w:rPr>
        <w:t xml:space="preserve">Am J Prev Med </w:t>
      </w:r>
      <w:r w:rsidRPr="00CF5625">
        <w:rPr>
          <w:rFonts w:cs="AdvP6975"/>
          <w:color w:val="231F20"/>
        </w:rPr>
        <w:t>2002;23(2): 64-73.</w:t>
      </w:r>
    </w:p>
    <w:p w14:paraId="68A54BAF" w14:textId="77777777" w:rsidR="007024FB" w:rsidRPr="00CF5625" w:rsidRDefault="007024FB" w:rsidP="00BE0DA0">
      <w:pPr>
        <w:autoSpaceDE w:val="0"/>
        <w:autoSpaceDN w:val="0"/>
        <w:adjustRightInd w:val="0"/>
        <w:spacing w:after="0" w:line="240" w:lineRule="auto"/>
        <w:rPr>
          <w:rFonts w:cs="TimesLTStd-Roman"/>
        </w:rPr>
      </w:pPr>
    </w:p>
    <w:p w14:paraId="46C843A2" w14:textId="77777777" w:rsidR="00784B26" w:rsidRDefault="00784B26" w:rsidP="00784B26">
      <w:r w:rsidRPr="007D566A">
        <w:t xml:space="preserve">Hirsch, J.A., et al., </w:t>
      </w:r>
      <w:r w:rsidRPr="007D566A">
        <w:rPr>
          <w:i/>
        </w:rPr>
        <w:t>Built environment change and change in BMI and waist circumference: Multi-ethnic Study of Atherosclerosis.</w:t>
      </w:r>
      <w:r w:rsidRPr="007D566A">
        <w:t xml:space="preserve"> Obesity (Silver Spring), 2014. </w:t>
      </w:r>
      <w:r w:rsidRPr="007D566A">
        <w:rPr>
          <w:b/>
        </w:rPr>
        <w:t>22</w:t>
      </w:r>
      <w:r w:rsidRPr="007D566A">
        <w:t>(11): p. 2450-7.</w:t>
      </w:r>
    </w:p>
    <w:p w14:paraId="56087032" w14:textId="5A84F6C4" w:rsidR="00D42079" w:rsidRPr="00C264C4" w:rsidRDefault="00D42079" w:rsidP="00D42079">
      <w:pPr>
        <w:pStyle w:val="Heading1"/>
      </w:pPr>
      <w:r w:rsidRPr="00C264C4">
        <w:lastRenderedPageBreak/>
        <w:t xml:space="preserve">Published MESA </w:t>
      </w:r>
      <w:r w:rsidR="00A30F5E" w:rsidRPr="00C264C4">
        <w:t>M</w:t>
      </w:r>
      <w:r w:rsidRPr="00C264C4">
        <w:t xml:space="preserve">anuscripts </w:t>
      </w:r>
      <w:r w:rsidR="00A30F5E" w:rsidRPr="00C264C4">
        <w:t>U</w:t>
      </w:r>
      <w:r w:rsidRPr="00C264C4">
        <w:t xml:space="preserve">sing the </w:t>
      </w:r>
      <w:r w:rsidR="00A30F5E" w:rsidRPr="00C264C4">
        <w:t>D</w:t>
      </w:r>
      <w:r w:rsidRPr="00C264C4">
        <w:t>ata:</w:t>
      </w:r>
    </w:p>
    <w:p w14:paraId="376927A2" w14:textId="3DC484F8" w:rsidR="00C264C4" w:rsidRPr="006210AA" w:rsidRDefault="00C264C4" w:rsidP="00D42079">
      <w:r w:rsidRPr="007D566A">
        <w:t xml:space="preserve">Rodriguez, D.A., et al., </w:t>
      </w:r>
      <w:r w:rsidRPr="007D566A">
        <w:rPr>
          <w:i/>
        </w:rPr>
        <w:t xml:space="preserve">Land use, residential density, and walking. The multi-ethnic study of </w:t>
      </w:r>
      <w:r w:rsidRPr="006210AA">
        <w:rPr>
          <w:i/>
        </w:rPr>
        <w:t>atherosclerosis.</w:t>
      </w:r>
      <w:r w:rsidRPr="006210AA">
        <w:t xml:space="preserve"> American journal of preventive medicine, 2009. </w:t>
      </w:r>
      <w:r w:rsidRPr="006210AA">
        <w:rPr>
          <w:b/>
        </w:rPr>
        <w:t>37</w:t>
      </w:r>
      <w:r w:rsidRPr="006210AA">
        <w:t>(5): p. 397-404.</w:t>
      </w:r>
    </w:p>
    <w:p w14:paraId="36A883B4" w14:textId="77777777" w:rsidR="00AE5B35" w:rsidRDefault="00AE5B35" w:rsidP="006210AA">
      <w:r w:rsidRPr="007D566A">
        <w:t xml:space="preserve">Auchincloss, A.H., et al., </w:t>
      </w:r>
      <w:r w:rsidRPr="007D566A">
        <w:rPr>
          <w:i/>
        </w:rPr>
        <w:t>Improving retrospective characterization of the food environment for a large region in the United States during a historic time period.</w:t>
      </w:r>
      <w:r w:rsidRPr="007D566A">
        <w:t xml:space="preserve"> Health &amp; place, 2012. </w:t>
      </w:r>
      <w:r w:rsidRPr="007D566A">
        <w:rPr>
          <w:b/>
        </w:rPr>
        <w:t>18</w:t>
      </w:r>
      <w:r w:rsidRPr="007D566A">
        <w:t>(6): p. 1341-7.</w:t>
      </w:r>
    </w:p>
    <w:p w14:paraId="3034ABA1" w14:textId="79D15925" w:rsidR="00A25C5C" w:rsidRDefault="00A25C5C" w:rsidP="006210AA">
      <w:r w:rsidRPr="007D566A">
        <w:t xml:space="preserve">Curl, C., et al., </w:t>
      </w:r>
      <w:r w:rsidRPr="007D566A">
        <w:rPr>
          <w:i/>
        </w:rPr>
        <w:t>Associations of Organic Produce Consumption with Socioeconomic Status and the Local Food Environment: Multi-Ethnic Study of Atherosclerosis (MESA).</w:t>
      </w:r>
      <w:r w:rsidRPr="007D566A">
        <w:t xml:space="preserve"> PloS one, 2013. </w:t>
      </w:r>
      <w:r w:rsidRPr="007D566A">
        <w:rPr>
          <w:b/>
        </w:rPr>
        <w:t>8</w:t>
      </w:r>
      <w:r w:rsidRPr="007D566A">
        <w:t>(7).</w:t>
      </w:r>
    </w:p>
    <w:p w14:paraId="00BC22F0" w14:textId="77777777" w:rsidR="00951AEF" w:rsidRDefault="00951AEF" w:rsidP="006210AA">
      <w:r w:rsidRPr="007D566A">
        <w:t xml:space="preserve">Hirsch, J.A., et al., </w:t>
      </w:r>
      <w:r w:rsidRPr="007D566A">
        <w:rPr>
          <w:i/>
        </w:rPr>
        <w:t>Discrete land uses and transportation walking in two U.S. cities: the Multi-Ethnic Study of Atherosclerosis.</w:t>
      </w:r>
      <w:r w:rsidRPr="007D566A">
        <w:t xml:space="preserve"> Health &amp; place, 2013. </w:t>
      </w:r>
      <w:r w:rsidRPr="007D566A">
        <w:rPr>
          <w:b/>
        </w:rPr>
        <w:t>24</w:t>
      </w:r>
      <w:r w:rsidRPr="007D566A">
        <w:t>: p. 196-202.</w:t>
      </w:r>
    </w:p>
    <w:p w14:paraId="3FFE4C91" w14:textId="4C95015E" w:rsidR="006210AA" w:rsidRPr="006210AA" w:rsidRDefault="006210AA" w:rsidP="006210AA">
      <w:r w:rsidRPr="006210AA">
        <w:t xml:space="preserve">Moore, K., et al., </w:t>
      </w:r>
      <w:r w:rsidRPr="006210AA">
        <w:rPr>
          <w:i/>
        </w:rPr>
        <w:t>Home and work neighbourhood environments in relation to body mass index: the Multi-Ethnic Study of Atherosclerosis (MESA).</w:t>
      </w:r>
      <w:r w:rsidRPr="006210AA">
        <w:t xml:space="preserve"> Journal of epidemiology and community health, 2013. </w:t>
      </w:r>
      <w:r w:rsidRPr="006210AA">
        <w:rPr>
          <w:b/>
        </w:rPr>
        <w:t>67</w:t>
      </w:r>
      <w:r w:rsidRPr="006210AA">
        <w:t>(10): p. 846-53.</w:t>
      </w:r>
    </w:p>
    <w:p w14:paraId="05718CF9" w14:textId="77777777" w:rsidR="006210AA" w:rsidRDefault="006210AA" w:rsidP="00D42079">
      <w:r w:rsidRPr="007D566A">
        <w:t xml:space="preserve">Hirsch, J.A., et al., </w:t>
      </w:r>
      <w:r w:rsidRPr="007D566A">
        <w:rPr>
          <w:i/>
        </w:rPr>
        <w:t>Changes in the built environment and changes in the amount of walking over time: longitudinal results from the multi-ethnic study of atherosclerosis.</w:t>
      </w:r>
      <w:r w:rsidRPr="007D566A">
        <w:t xml:space="preserve"> Am J Epidemiol, 2014. </w:t>
      </w:r>
      <w:r w:rsidRPr="007D566A">
        <w:rPr>
          <w:b/>
        </w:rPr>
        <w:t>180</w:t>
      </w:r>
      <w:r w:rsidRPr="007D566A">
        <w:t>(8): p. 799-809.</w:t>
      </w:r>
    </w:p>
    <w:p w14:paraId="268A3CDF" w14:textId="77777777" w:rsidR="00541533" w:rsidRDefault="00541533" w:rsidP="00D42079">
      <w:r w:rsidRPr="007D566A">
        <w:t xml:space="preserve">Hirsch, J.A., et al., </w:t>
      </w:r>
      <w:r w:rsidRPr="007D566A">
        <w:rPr>
          <w:i/>
        </w:rPr>
        <w:t>Built environment change and change in BMI and waist circumference: Multi-ethnic Study of Atherosclerosis.</w:t>
      </w:r>
      <w:r w:rsidRPr="007D566A">
        <w:t xml:space="preserve"> Obesity (Silver Spring), 2014. </w:t>
      </w:r>
      <w:r w:rsidRPr="007D566A">
        <w:rPr>
          <w:b/>
        </w:rPr>
        <w:t>22</w:t>
      </w:r>
      <w:r w:rsidRPr="007D566A">
        <w:t>(11): p. 2450-7.</w:t>
      </w:r>
    </w:p>
    <w:p w14:paraId="4C68A786" w14:textId="204DFE45" w:rsidR="00C264C4" w:rsidRPr="00CB467D" w:rsidRDefault="00C264C4" w:rsidP="00D42079">
      <w:r w:rsidRPr="007D566A">
        <w:t xml:space="preserve">Ranchod, Y.K., et al., </w:t>
      </w:r>
      <w:r w:rsidRPr="007D566A">
        <w:rPr>
          <w:i/>
        </w:rPr>
        <w:t>Longitudinal associations between neighborhood recreational facilities and change in recreational physical activity in the multi-ethnic study of atherosclerosis, 2000-2007.</w:t>
      </w:r>
      <w:r w:rsidRPr="007D566A">
        <w:t xml:space="preserve"> American journal </w:t>
      </w:r>
      <w:r w:rsidRPr="00CB467D">
        <w:t xml:space="preserve">of epidemiology, 2014. </w:t>
      </w:r>
      <w:r w:rsidRPr="00CB467D">
        <w:rPr>
          <w:b/>
        </w:rPr>
        <w:t>179</w:t>
      </w:r>
      <w:r w:rsidRPr="00CB467D">
        <w:t>(3): p. 335-43.</w:t>
      </w:r>
    </w:p>
    <w:p w14:paraId="59316599" w14:textId="77777777" w:rsidR="00CB467D" w:rsidRPr="00CB467D" w:rsidRDefault="00CB467D" w:rsidP="00CB467D">
      <w:bookmarkStart w:id="1" w:name="_ENREF_65"/>
      <w:r w:rsidRPr="00CB467D">
        <w:t xml:space="preserve">Unger, E., et al., </w:t>
      </w:r>
      <w:r w:rsidRPr="00CB467D">
        <w:rPr>
          <w:i/>
        </w:rPr>
        <w:t>Association of neighborhood characteristics with cardiovascular health in the multi-ethnic study of atherosclerosis.</w:t>
      </w:r>
      <w:r w:rsidRPr="00CB467D">
        <w:t xml:space="preserve"> Circ Cardiovasc Qual Outcomes, 2014. </w:t>
      </w:r>
      <w:r w:rsidRPr="00CB467D">
        <w:rPr>
          <w:b/>
        </w:rPr>
        <w:t>7</w:t>
      </w:r>
      <w:r w:rsidRPr="00CB467D">
        <w:t>(4): p. 524-31.</w:t>
      </w:r>
      <w:bookmarkEnd w:id="1"/>
    </w:p>
    <w:p w14:paraId="197864E9" w14:textId="77777777" w:rsidR="00951AEF" w:rsidRDefault="00951AEF" w:rsidP="00742661">
      <w:r w:rsidRPr="007D566A">
        <w:t xml:space="preserve">Albrecht, S.S., et al., </w:t>
      </w:r>
      <w:r w:rsidRPr="007D566A">
        <w:rPr>
          <w:i/>
        </w:rPr>
        <w:t>Change in waist circumference with longer time in the United States among Hispanic and Chinese immigrants: the modifying role of the neighborhood built environment.</w:t>
      </w:r>
      <w:r w:rsidRPr="007D566A">
        <w:t xml:space="preserve"> Ann Epidemiol, 2015.</w:t>
      </w:r>
    </w:p>
    <w:p w14:paraId="4327BB23" w14:textId="3AC4000F" w:rsidR="00523FD2" w:rsidRDefault="00523FD2" w:rsidP="00742661">
      <w:r w:rsidRPr="007D566A">
        <w:t xml:space="preserve">Berchuck, S.I., et al., </w:t>
      </w:r>
      <w:r w:rsidRPr="007D566A">
        <w:rPr>
          <w:i/>
        </w:rPr>
        <w:t>Spatially modelling the association between access to recreational facilities and exercise: the ‘Multi-ethnic study of atherosclerosis’.</w:t>
      </w:r>
      <w:r w:rsidRPr="007D566A">
        <w:t xml:space="preserve"> Journal of the Royal Statistical Society: Series A (Statistics in Society), 2015: p. n/a-n/a.</w:t>
      </w:r>
    </w:p>
    <w:p w14:paraId="74C1C4E7" w14:textId="664310B1" w:rsidR="00742661" w:rsidRPr="00951AEF" w:rsidRDefault="00742661" w:rsidP="00742661">
      <w:r w:rsidRPr="00742661">
        <w:t xml:space="preserve">Brenner, A.B., et al., </w:t>
      </w:r>
      <w:r w:rsidRPr="00742661">
        <w:rPr>
          <w:i/>
        </w:rPr>
        <w:t xml:space="preserve">Associations of Alcohol Availability and Neighborhood Socioeconomic Characteristics With Drinking: Cross-Sectional Results From the Multi-Ethnic Study of Atherosclerosis </w:t>
      </w:r>
      <w:r w:rsidRPr="00951AEF">
        <w:rPr>
          <w:i/>
        </w:rPr>
        <w:t>(MESA).</w:t>
      </w:r>
      <w:r w:rsidRPr="00951AEF">
        <w:t xml:space="preserve"> Subst Use Misuse, 2015. </w:t>
      </w:r>
      <w:r w:rsidRPr="00951AEF">
        <w:rPr>
          <w:b/>
        </w:rPr>
        <w:t>50</w:t>
      </w:r>
      <w:r w:rsidRPr="00951AEF">
        <w:t>(12): p. 1606-17.</w:t>
      </w:r>
    </w:p>
    <w:p w14:paraId="08EFBDB8" w14:textId="77777777" w:rsidR="00951AEF" w:rsidRPr="00951AEF" w:rsidRDefault="00951AEF" w:rsidP="00951AEF">
      <w:bookmarkStart w:id="2" w:name="_ENREF_23"/>
      <w:bookmarkStart w:id="3" w:name="_ENREF_9"/>
      <w:r w:rsidRPr="00951AEF">
        <w:t xml:space="preserve">Brenner, A.B., et al., </w:t>
      </w:r>
      <w:r w:rsidRPr="00951AEF">
        <w:rPr>
          <w:i/>
        </w:rPr>
        <w:t>Longitudinal associations of neighborhood socioeconomic characteristics and alcohol availability on drinking: Results from the Multi-Ethnic Study of Atherosclerosis (MESA).</w:t>
      </w:r>
      <w:r w:rsidRPr="00951AEF">
        <w:t xml:space="preserve"> Soc Sci Med, 2015. </w:t>
      </w:r>
      <w:r w:rsidRPr="00951AEF">
        <w:rPr>
          <w:b/>
        </w:rPr>
        <w:t>145</w:t>
      </w:r>
      <w:r w:rsidRPr="00951AEF">
        <w:t>: p. 17-25.</w:t>
      </w:r>
      <w:bookmarkEnd w:id="2"/>
    </w:p>
    <w:bookmarkEnd w:id="3"/>
    <w:p w14:paraId="10D98E12" w14:textId="77777777" w:rsidR="0047276A" w:rsidRPr="0047276A" w:rsidRDefault="0047276A" w:rsidP="0047276A">
      <w:r w:rsidRPr="00951AEF">
        <w:lastRenderedPageBreak/>
        <w:t xml:space="preserve">Christine, P.J., et al., </w:t>
      </w:r>
      <w:r w:rsidRPr="00951AEF">
        <w:rPr>
          <w:i/>
        </w:rPr>
        <w:t>Longitudinal Associations Between Neighborhood Physical and Social Environments</w:t>
      </w:r>
      <w:r w:rsidRPr="0047276A">
        <w:rPr>
          <w:i/>
        </w:rPr>
        <w:t xml:space="preserve"> and Incident Type 2 Diabetes Mellitus: The Multi-Ethnic Study of Atherosclerosis (MESA).</w:t>
      </w:r>
      <w:r w:rsidRPr="0047276A">
        <w:t xml:space="preserve"> JAMA Intern Med, 2015. </w:t>
      </w:r>
      <w:r w:rsidRPr="0047276A">
        <w:rPr>
          <w:b/>
        </w:rPr>
        <w:t>175</w:t>
      </w:r>
      <w:r w:rsidRPr="0047276A">
        <w:t>(8): p. 1311-20.</w:t>
      </w:r>
    </w:p>
    <w:p w14:paraId="351FFC2F" w14:textId="77777777" w:rsidR="001E02BD" w:rsidRDefault="001E02BD" w:rsidP="00D42079">
      <w:r w:rsidRPr="007D566A">
        <w:t xml:space="preserve">Jones, S.A., et al., </w:t>
      </w:r>
      <w:r w:rsidRPr="007D566A">
        <w:rPr>
          <w:i/>
        </w:rPr>
        <w:t>Disparities in physical activity resource availability in six US regions.</w:t>
      </w:r>
      <w:r w:rsidRPr="007D566A">
        <w:t xml:space="preserve"> Prev Med, 2015. </w:t>
      </w:r>
      <w:r w:rsidRPr="007D566A">
        <w:rPr>
          <w:b/>
        </w:rPr>
        <w:t>78</w:t>
      </w:r>
      <w:r w:rsidRPr="007D566A">
        <w:t>: p. 17-22.</w:t>
      </w:r>
    </w:p>
    <w:p w14:paraId="6A853B95" w14:textId="77777777" w:rsidR="00CB2AF7" w:rsidRDefault="00CB2AF7" w:rsidP="00D42079">
      <w:r w:rsidRPr="007D566A">
        <w:t xml:space="preserve">Nethery, R.C., et al., </w:t>
      </w:r>
      <w:r w:rsidRPr="007D566A">
        <w:rPr>
          <w:i/>
        </w:rPr>
        <w:t>A common spatial factor analysis model for measured neighborhood-level characteristics: The Multi-Ethnic Study of Atherosclerosis.</w:t>
      </w:r>
      <w:r w:rsidRPr="007D566A">
        <w:t xml:space="preserve"> Health Place, 2015. </w:t>
      </w:r>
      <w:r w:rsidRPr="007D566A">
        <w:rPr>
          <w:b/>
        </w:rPr>
        <w:t>36</w:t>
      </w:r>
      <w:r w:rsidRPr="007D566A">
        <w:t>: p. 35-46.</w:t>
      </w:r>
    </w:p>
    <w:p w14:paraId="510B5857" w14:textId="144BB8D8" w:rsidR="00EB5BAC" w:rsidRDefault="00EB5BAC" w:rsidP="00D42079">
      <w:r w:rsidRPr="007D566A">
        <w:t xml:space="preserve">Spalt, E.W., et al., </w:t>
      </w:r>
      <w:r w:rsidRPr="007D566A">
        <w:rPr>
          <w:i/>
        </w:rPr>
        <w:t>Factors influencing time-location patterns and their impact on estimates of exposure: the Multi-Ethnic Study of Atherosclerosis and Air Pollution (MESA Air).</w:t>
      </w:r>
      <w:r w:rsidRPr="007D566A">
        <w:t xml:space="preserve"> J Expo Sci Environ Epidemiol, 2015.</w:t>
      </w:r>
    </w:p>
    <w:p w14:paraId="1F95F0F3" w14:textId="3B48CFD5" w:rsidR="00C264C4" w:rsidRPr="001E02BD" w:rsidRDefault="0047276A" w:rsidP="00D42079">
      <w:r w:rsidRPr="007D566A">
        <w:t xml:space="preserve">Kaiser, P., et al., </w:t>
      </w:r>
      <w:r w:rsidRPr="007D566A">
        <w:rPr>
          <w:i/>
        </w:rPr>
        <w:t xml:space="preserve">Neighborhood Environments and Incident Hypertension in the Multi-Ethnic Study of </w:t>
      </w:r>
      <w:r w:rsidRPr="001E02BD">
        <w:rPr>
          <w:i/>
        </w:rPr>
        <w:t>Atherosclerosis.</w:t>
      </w:r>
      <w:r w:rsidRPr="001E02BD">
        <w:t xml:space="preserve"> Am J Epidemiol, 2016. </w:t>
      </w:r>
      <w:r w:rsidRPr="001E02BD">
        <w:rPr>
          <w:b/>
        </w:rPr>
        <w:t>183</w:t>
      </w:r>
      <w:r w:rsidRPr="001E02BD">
        <w:t>(11): p. 988-97.</w:t>
      </w:r>
    </w:p>
    <w:p w14:paraId="720325EB" w14:textId="77777777" w:rsidR="001E02BD" w:rsidRDefault="001E02BD" w:rsidP="001E02BD">
      <w:bookmarkStart w:id="4" w:name="_ENREF_44"/>
      <w:r w:rsidRPr="001E02BD">
        <w:t xml:space="preserve">Moore, K.A., et al., </w:t>
      </w:r>
      <w:r w:rsidRPr="001E02BD">
        <w:rPr>
          <w:i/>
        </w:rPr>
        <w:t>Neighborhood Social Resources and Depressive Symptoms: Longitudinal Results from the Multi-Ethnic Study of Atherosclerosis.</w:t>
      </w:r>
      <w:r w:rsidRPr="001E02BD">
        <w:t xml:space="preserve"> J Urban Health, 2016. </w:t>
      </w:r>
      <w:r w:rsidRPr="001E02BD">
        <w:rPr>
          <w:b/>
        </w:rPr>
        <w:t>93</w:t>
      </w:r>
      <w:r w:rsidRPr="001E02BD">
        <w:t>(3): p. 572-88.</w:t>
      </w:r>
      <w:bookmarkEnd w:id="4"/>
    </w:p>
    <w:p w14:paraId="44DC8907" w14:textId="5B81A72F" w:rsidR="00082FF3" w:rsidRPr="001E02BD" w:rsidRDefault="00082FF3" w:rsidP="001E02BD">
      <w:r w:rsidRPr="007D566A">
        <w:t xml:space="preserve">Wing, J.J., et al., </w:t>
      </w:r>
      <w:r w:rsidRPr="007D566A">
        <w:rPr>
          <w:i/>
        </w:rPr>
        <w:t>Change in Neighborhood Characteristics and Change in Coronary Artery Calcium: A Longitudinal Investigation in the MESA (Multi-Ethnic Study of Atherosclerosis) Cohort.</w:t>
      </w:r>
      <w:r w:rsidRPr="007D566A">
        <w:t xml:space="preserve"> Circulation, 2016. </w:t>
      </w:r>
      <w:r w:rsidRPr="007D566A">
        <w:rPr>
          <w:b/>
        </w:rPr>
        <w:t>134</w:t>
      </w:r>
      <w:r w:rsidRPr="007D566A">
        <w:t>(7): p. 504-13.</w:t>
      </w:r>
    </w:p>
    <w:p w14:paraId="2B306182" w14:textId="77777777" w:rsidR="00951AEF" w:rsidRDefault="00951AEF">
      <w:pPr>
        <w:rPr>
          <w:rFonts w:asciiTheme="majorHAnsi" w:eastAsiaTheme="majorEastAsia" w:hAnsiTheme="majorHAnsi" w:cstheme="majorBidi"/>
          <w:b/>
          <w:bCs/>
          <w:color w:val="365F91" w:themeColor="accent1" w:themeShade="BF"/>
          <w:sz w:val="28"/>
          <w:szCs w:val="28"/>
          <w:u w:val="single"/>
        </w:rPr>
      </w:pPr>
      <w:r>
        <w:br w:type="page"/>
      </w:r>
    </w:p>
    <w:p w14:paraId="51D8D19B" w14:textId="2D8039A6" w:rsidR="00CD7C34" w:rsidRPr="00D15546" w:rsidRDefault="005D54B5" w:rsidP="00CD7C34">
      <w:pPr>
        <w:pStyle w:val="Heading1"/>
      </w:pPr>
      <w:r w:rsidRPr="00D15546">
        <w:lastRenderedPageBreak/>
        <w:t>Dataset Description:</w:t>
      </w:r>
    </w:p>
    <w:p w14:paraId="05EE1169" w14:textId="77777777" w:rsidR="00CD7C34" w:rsidRPr="00D9229D" w:rsidRDefault="00CD7C34" w:rsidP="00CD7C34">
      <w:r w:rsidRPr="00D9229D">
        <w:t>Participant inclusion: MESA participants who agreed to participate in the MESA Neighborhood study (N=6191)</w:t>
      </w:r>
    </w:p>
    <w:p w14:paraId="191EA46A" w14:textId="77777777" w:rsidR="00F97A64" w:rsidRPr="00D9229D" w:rsidRDefault="00F97A64" w:rsidP="00CD7C34">
      <w:r w:rsidRPr="00D9229D">
        <w:t>Data set-up: Panel (stacked) dataset with 1 row per participant per exam; an exam indicator is included</w:t>
      </w:r>
    </w:p>
    <w:p w14:paraId="479643FC" w14:textId="052AF375" w:rsidR="00F97A64" w:rsidRPr="00D9229D" w:rsidRDefault="00F97A64" w:rsidP="00CD7C34">
      <w:r w:rsidRPr="00D9229D">
        <w:t xml:space="preserve">Notes: </w:t>
      </w:r>
      <w:r w:rsidR="00957EF5" w:rsidRPr="00D9229D">
        <w:t>Data will be missing for a</w:t>
      </w:r>
      <w:r w:rsidRPr="00D9229D">
        <w:t>ny addresses that were unable to geocode</w:t>
      </w:r>
      <w:r w:rsidR="00D9229D" w:rsidRPr="00D9229D">
        <w:t xml:space="preserve"> for all data sources. Land use and public transportation measures will be missing</w:t>
      </w:r>
      <w:r w:rsidRPr="00D9229D">
        <w:t xml:space="preserve"> </w:t>
      </w:r>
      <w:r w:rsidR="00D9229D" w:rsidRPr="00D9229D">
        <w:t>w</w:t>
      </w:r>
      <w:r w:rsidR="00957EF5" w:rsidRPr="00D9229D">
        <w:t xml:space="preserve">here </w:t>
      </w:r>
      <w:r w:rsidR="00D9229D" w:rsidRPr="00D9229D">
        <w:t>the address falls outside the counties where these data were collected.</w:t>
      </w:r>
      <w:r w:rsidRPr="00D9229D">
        <w:t xml:space="preserve"> </w:t>
      </w:r>
    </w:p>
    <w:p w14:paraId="2F9DB948" w14:textId="313D63B1" w:rsidR="006A2E2A" w:rsidRPr="00D15546" w:rsidRDefault="00AD4FE0" w:rsidP="009F1147">
      <w:pPr>
        <w:tabs>
          <w:tab w:val="center" w:pos="6480"/>
        </w:tabs>
        <w:autoSpaceDE w:val="0"/>
        <w:autoSpaceDN w:val="0"/>
        <w:adjustRightInd w:val="0"/>
        <w:spacing w:after="0" w:line="240" w:lineRule="auto"/>
        <w:rPr>
          <w:rFonts w:cs="SAS Monospace"/>
          <w:b/>
        </w:rPr>
      </w:pPr>
      <w:r w:rsidRPr="00D9229D">
        <w:rPr>
          <w:rFonts w:cs="SAS Monospace"/>
          <w:b/>
        </w:rPr>
        <w:t>Data Set Name: MESANBH_</w:t>
      </w:r>
      <w:r w:rsidR="00D15546" w:rsidRPr="00D9229D">
        <w:rPr>
          <w:rFonts w:cs="SAS Monospace"/>
          <w:b/>
        </w:rPr>
        <w:t>BUILTENV</w:t>
      </w:r>
      <w:r w:rsidR="00C61251">
        <w:rPr>
          <w:rFonts w:cs="SAS Monospace"/>
          <w:b/>
        </w:rPr>
        <w:t>1018</w:t>
      </w:r>
      <w:r w:rsidRPr="00D9229D">
        <w:rPr>
          <w:rFonts w:cs="SAS Monospace"/>
          <w:b/>
        </w:rPr>
        <w:t>2016</w:t>
      </w:r>
    </w:p>
    <w:tbl>
      <w:tblPr>
        <w:tblStyle w:val="TableGrid"/>
        <w:tblW w:w="10620" w:type="dxa"/>
        <w:tblInd w:w="-612" w:type="dxa"/>
        <w:tblLayout w:type="fixed"/>
        <w:tblLook w:val="04A0" w:firstRow="1" w:lastRow="0" w:firstColumn="1" w:lastColumn="0" w:noHBand="0" w:noVBand="1"/>
      </w:tblPr>
      <w:tblGrid>
        <w:gridCol w:w="977"/>
        <w:gridCol w:w="1903"/>
        <w:gridCol w:w="5788"/>
        <w:gridCol w:w="1952"/>
      </w:tblGrid>
      <w:tr w:rsidR="006A2E2A" w:rsidRPr="006E751A" w14:paraId="629AC821" w14:textId="77777777" w:rsidTr="00604541">
        <w:trPr>
          <w:tblHeader/>
        </w:trPr>
        <w:tc>
          <w:tcPr>
            <w:tcW w:w="977" w:type="dxa"/>
          </w:tcPr>
          <w:p w14:paraId="5F31290A" w14:textId="10FE4F80" w:rsidR="006A2E2A" w:rsidRPr="006E751A" w:rsidRDefault="006A2E2A" w:rsidP="009F1147">
            <w:pPr>
              <w:tabs>
                <w:tab w:val="center" w:pos="6480"/>
              </w:tabs>
              <w:autoSpaceDE w:val="0"/>
              <w:autoSpaceDN w:val="0"/>
              <w:adjustRightInd w:val="0"/>
              <w:rPr>
                <w:rFonts w:cs="SAS Monospace"/>
                <w:b/>
              </w:rPr>
            </w:pPr>
            <w:r w:rsidRPr="006E751A">
              <w:rPr>
                <w:b/>
                <w:sz w:val="20"/>
                <w:szCs w:val="20"/>
              </w:rPr>
              <w:t>Variable Order</w:t>
            </w:r>
          </w:p>
        </w:tc>
        <w:tc>
          <w:tcPr>
            <w:tcW w:w="1903" w:type="dxa"/>
          </w:tcPr>
          <w:p w14:paraId="7C0042F7" w14:textId="073CA96F" w:rsidR="006A2E2A" w:rsidRPr="006E751A" w:rsidRDefault="006A2E2A" w:rsidP="009F1147">
            <w:pPr>
              <w:tabs>
                <w:tab w:val="center" w:pos="6480"/>
              </w:tabs>
              <w:autoSpaceDE w:val="0"/>
              <w:autoSpaceDN w:val="0"/>
              <w:adjustRightInd w:val="0"/>
              <w:rPr>
                <w:rFonts w:cs="SAS Monospace"/>
                <w:b/>
                <w:sz w:val="20"/>
                <w:szCs w:val="20"/>
              </w:rPr>
            </w:pPr>
            <w:r w:rsidRPr="006E751A">
              <w:rPr>
                <w:b/>
                <w:sz w:val="20"/>
                <w:szCs w:val="20"/>
              </w:rPr>
              <w:t>Variable name</w:t>
            </w:r>
          </w:p>
        </w:tc>
        <w:tc>
          <w:tcPr>
            <w:tcW w:w="5788" w:type="dxa"/>
          </w:tcPr>
          <w:p w14:paraId="3115F1DF" w14:textId="3D3CC930" w:rsidR="006A2E2A" w:rsidRPr="006E751A" w:rsidRDefault="006A2E2A" w:rsidP="009F1147">
            <w:pPr>
              <w:tabs>
                <w:tab w:val="center" w:pos="6480"/>
              </w:tabs>
              <w:autoSpaceDE w:val="0"/>
              <w:autoSpaceDN w:val="0"/>
              <w:adjustRightInd w:val="0"/>
              <w:rPr>
                <w:rFonts w:cs="SAS Monospace"/>
                <w:b/>
                <w:sz w:val="20"/>
                <w:szCs w:val="20"/>
              </w:rPr>
            </w:pPr>
            <w:r w:rsidRPr="006E751A">
              <w:rPr>
                <w:rFonts w:cstheme="minorHAnsi"/>
                <w:b/>
                <w:sz w:val="20"/>
                <w:szCs w:val="20"/>
              </w:rPr>
              <w:t>Description</w:t>
            </w:r>
          </w:p>
        </w:tc>
        <w:tc>
          <w:tcPr>
            <w:tcW w:w="1952" w:type="dxa"/>
          </w:tcPr>
          <w:p w14:paraId="31ECC052" w14:textId="5FFF0350" w:rsidR="006A2E2A" w:rsidRPr="006E751A" w:rsidRDefault="006A2E2A" w:rsidP="009F1147">
            <w:pPr>
              <w:tabs>
                <w:tab w:val="center" w:pos="6480"/>
              </w:tabs>
              <w:autoSpaceDE w:val="0"/>
              <w:autoSpaceDN w:val="0"/>
              <w:adjustRightInd w:val="0"/>
              <w:rPr>
                <w:rFonts w:cs="SAS Monospace"/>
                <w:b/>
                <w:sz w:val="20"/>
                <w:szCs w:val="20"/>
              </w:rPr>
            </w:pPr>
            <w:r w:rsidRPr="006E751A">
              <w:rPr>
                <w:rFonts w:cstheme="minorHAnsi"/>
                <w:b/>
                <w:sz w:val="20"/>
                <w:szCs w:val="20"/>
              </w:rPr>
              <w:t>Coding</w:t>
            </w:r>
          </w:p>
        </w:tc>
      </w:tr>
      <w:tr w:rsidR="006A2E2A" w:rsidRPr="006E751A" w14:paraId="33C1E243" w14:textId="77777777" w:rsidTr="00604541">
        <w:tc>
          <w:tcPr>
            <w:tcW w:w="977" w:type="dxa"/>
          </w:tcPr>
          <w:p w14:paraId="66FC789F" w14:textId="1A73CFD0" w:rsidR="006A2E2A" w:rsidRPr="006E751A" w:rsidRDefault="006A2E2A" w:rsidP="009F1147">
            <w:pPr>
              <w:tabs>
                <w:tab w:val="center" w:pos="6480"/>
              </w:tabs>
              <w:autoSpaceDE w:val="0"/>
              <w:autoSpaceDN w:val="0"/>
              <w:adjustRightInd w:val="0"/>
              <w:rPr>
                <w:rFonts w:cs="SAS Monospace"/>
                <w:b/>
              </w:rPr>
            </w:pPr>
            <w:r w:rsidRPr="006E751A">
              <w:rPr>
                <w:rFonts w:cs="SAS Monospace"/>
                <w:sz w:val="20"/>
                <w:szCs w:val="20"/>
              </w:rPr>
              <w:t>1</w:t>
            </w:r>
          </w:p>
        </w:tc>
        <w:tc>
          <w:tcPr>
            <w:tcW w:w="1903" w:type="dxa"/>
          </w:tcPr>
          <w:p w14:paraId="7EAC5568" w14:textId="67F81DA6" w:rsidR="006A2E2A" w:rsidRPr="006E751A" w:rsidRDefault="006A2E2A" w:rsidP="009F1147">
            <w:pPr>
              <w:tabs>
                <w:tab w:val="center" w:pos="6480"/>
              </w:tabs>
              <w:autoSpaceDE w:val="0"/>
              <w:autoSpaceDN w:val="0"/>
              <w:adjustRightInd w:val="0"/>
              <w:rPr>
                <w:rFonts w:cs="SAS Monospace"/>
                <w:b/>
                <w:sz w:val="20"/>
                <w:szCs w:val="20"/>
              </w:rPr>
            </w:pPr>
            <w:r w:rsidRPr="006E751A">
              <w:rPr>
                <w:rFonts w:cs="SAS Monospace"/>
                <w:sz w:val="20"/>
                <w:szCs w:val="20"/>
              </w:rPr>
              <w:t>idno</w:t>
            </w:r>
          </w:p>
        </w:tc>
        <w:tc>
          <w:tcPr>
            <w:tcW w:w="5788" w:type="dxa"/>
          </w:tcPr>
          <w:p w14:paraId="34557B55" w14:textId="34966743" w:rsidR="006A2E2A" w:rsidRPr="006E751A" w:rsidRDefault="006A2E2A" w:rsidP="009F1147">
            <w:pPr>
              <w:tabs>
                <w:tab w:val="center" w:pos="6480"/>
              </w:tabs>
              <w:autoSpaceDE w:val="0"/>
              <w:autoSpaceDN w:val="0"/>
              <w:adjustRightInd w:val="0"/>
              <w:rPr>
                <w:rFonts w:cs="SAS Monospace"/>
                <w:b/>
                <w:sz w:val="20"/>
                <w:szCs w:val="20"/>
              </w:rPr>
            </w:pPr>
            <w:r w:rsidRPr="006E751A">
              <w:rPr>
                <w:rFonts w:cstheme="minorHAnsi"/>
                <w:sz w:val="20"/>
                <w:szCs w:val="20"/>
              </w:rPr>
              <w:t>MESA ID number</w:t>
            </w:r>
          </w:p>
        </w:tc>
        <w:tc>
          <w:tcPr>
            <w:tcW w:w="1952" w:type="dxa"/>
          </w:tcPr>
          <w:p w14:paraId="4E692BCB" w14:textId="77777777" w:rsidR="006A2E2A" w:rsidRPr="006E751A" w:rsidRDefault="006A2E2A" w:rsidP="009F1147">
            <w:pPr>
              <w:tabs>
                <w:tab w:val="center" w:pos="6480"/>
              </w:tabs>
              <w:autoSpaceDE w:val="0"/>
              <w:autoSpaceDN w:val="0"/>
              <w:adjustRightInd w:val="0"/>
              <w:rPr>
                <w:rFonts w:cs="SAS Monospace"/>
                <w:b/>
                <w:sz w:val="20"/>
                <w:szCs w:val="20"/>
              </w:rPr>
            </w:pPr>
          </w:p>
        </w:tc>
      </w:tr>
      <w:tr w:rsidR="006E751A" w:rsidRPr="006E751A" w14:paraId="5905CF52" w14:textId="77777777" w:rsidTr="00D4068B">
        <w:tc>
          <w:tcPr>
            <w:tcW w:w="977" w:type="dxa"/>
          </w:tcPr>
          <w:p w14:paraId="514A4363" w14:textId="4E3A3767" w:rsidR="006E751A" w:rsidRPr="006E751A" w:rsidRDefault="006E751A" w:rsidP="00D4068B">
            <w:pPr>
              <w:tabs>
                <w:tab w:val="center" w:pos="6480"/>
              </w:tabs>
              <w:autoSpaceDE w:val="0"/>
              <w:autoSpaceDN w:val="0"/>
              <w:adjustRightInd w:val="0"/>
              <w:rPr>
                <w:rFonts w:cs="SAS Monospace"/>
                <w:sz w:val="20"/>
                <w:szCs w:val="20"/>
              </w:rPr>
            </w:pPr>
            <w:r w:rsidRPr="006E751A">
              <w:rPr>
                <w:rFonts w:cs="SAS Monospace"/>
                <w:sz w:val="20"/>
                <w:szCs w:val="20"/>
              </w:rPr>
              <w:t>2</w:t>
            </w:r>
          </w:p>
        </w:tc>
        <w:tc>
          <w:tcPr>
            <w:tcW w:w="1903" w:type="dxa"/>
          </w:tcPr>
          <w:p w14:paraId="29081F15" w14:textId="77777777" w:rsidR="006E751A" w:rsidRPr="006E751A" w:rsidRDefault="006E751A" w:rsidP="00D4068B">
            <w:pPr>
              <w:tabs>
                <w:tab w:val="center" w:pos="6480"/>
              </w:tabs>
              <w:autoSpaceDE w:val="0"/>
              <w:autoSpaceDN w:val="0"/>
              <w:adjustRightInd w:val="0"/>
              <w:rPr>
                <w:rFonts w:cs="SAS Monospace"/>
                <w:sz w:val="20"/>
                <w:szCs w:val="20"/>
              </w:rPr>
            </w:pPr>
            <w:r w:rsidRPr="006E751A">
              <w:rPr>
                <w:rFonts w:cs="SAS Monospace"/>
                <w:sz w:val="20"/>
                <w:szCs w:val="20"/>
              </w:rPr>
              <w:t>EXAM</w:t>
            </w:r>
          </w:p>
        </w:tc>
        <w:tc>
          <w:tcPr>
            <w:tcW w:w="5788" w:type="dxa"/>
          </w:tcPr>
          <w:p w14:paraId="379D349B" w14:textId="77777777" w:rsidR="006E751A" w:rsidRPr="006E751A" w:rsidRDefault="006E751A" w:rsidP="00D4068B">
            <w:pPr>
              <w:tabs>
                <w:tab w:val="center" w:pos="6480"/>
              </w:tabs>
              <w:autoSpaceDE w:val="0"/>
              <w:autoSpaceDN w:val="0"/>
              <w:adjustRightInd w:val="0"/>
              <w:rPr>
                <w:rFonts w:cstheme="minorHAnsi"/>
                <w:sz w:val="20"/>
                <w:szCs w:val="20"/>
              </w:rPr>
            </w:pPr>
            <w:r w:rsidRPr="006E751A">
              <w:rPr>
                <w:rFonts w:cstheme="minorHAnsi"/>
                <w:sz w:val="20"/>
                <w:szCs w:val="20"/>
              </w:rPr>
              <w:t>MESA Exam number</w:t>
            </w:r>
          </w:p>
        </w:tc>
        <w:tc>
          <w:tcPr>
            <w:tcW w:w="1952" w:type="dxa"/>
          </w:tcPr>
          <w:p w14:paraId="24F7FF31" w14:textId="77777777" w:rsidR="006E751A" w:rsidRPr="006E751A" w:rsidRDefault="006E751A" w:rsidP="00D4068B">
            <w:pPr>
              <w:pStyle w:val="ListParagraph"/>
              <w:ind w:left="0"/>
              <w:rPr>
                <w:rFonts w:cstheme="minorHAnsi"/>
                <w:sz w:val="20"/>
                <w:szCs w:val="20"/>
              </w:rPr>
            </w:pPr>
          </w:p>
        </w:tc>
      </w:tr>
      <w:tr w:rsidR="006A2E2A" w:rsidRPr="006E751A" w14:paraId="4DA07522" w14:textId="77777777" w:rsidTr="00604541">
        <w:tc>
          <w:tcPr>
            <w:tcW w:w="977" w:type="dxa"/>
          </w:tcPr>
          <w:p w14:paraId="3E774EAA" w14:textId="16892965" w:rsidR="006A2E2A" w:rsidRPr="006E751A" w:rsidRDefault="006E751A" w:rsidP="009F1147">
            <w:pPr>
              <w:tabs>
                <w:tab w:val="center" w:pos="6480"/>
              </w:tabs>
              <w:autoSpaceDE w:val="0"/>
              <w:autoSpaceDN w:val="0"/>
              <w:adjustRightInd w:val="0"/>
              <w:rPr>
                <w:rFonts w:cs="SAS Monospace"/>
                <w:sz w:val="20"/>
                <w:szCs w:val="20"/>
              </w:rPr>
            </w:pPr>
            <w:r w:rsidRPr="006E751A">
              <w:rPr>
                <w:rFonts w:cs="SAS Monospace"/>
                <w:sz w:val="20"/>
                <w:szCs w:val="20"/>
              </w:rPr>
              <w:t>3</w:t>
            </w:r>
          </w:p>
        </w:tc>
        <w:tc>
          <w:tcPr>
            <w:tcW w:w="1903" w:type="dxa"/>
          </w:tcPr>
          <w:p w14:paraId="0211AD7F" w14:textId="5279C716" w:rsidR="006A2E2A" w:rsidRPr="006E751A" w:rsidRDefault="006A2E2A" w:rsidP="009F1147">
            <w:pPr>
              <w:tabs>
                <w:tab w:val="center" w:pos="6480"/>
              </w:tabs>
              <w:autoSpaceDE w:val="0"/>
              <w:autoSpaceDN w:val="0"/>
              <w:adjustRightInd w:val="0"/>
              <w:rPr>
                <w:rFonts w:cs="SAS Monospace"/>
                <w:sz w:val="20"/>
                <w:szCs w:val="20"/>
              </w:rPr>
            </w:pPr>
            <w:r w:rsidRPr="006E751A">
              <w:rPr>
                <w:rFonts w:cs="SAS Monospace"/>
                <w:sz w:val="20"/>
                <w:szCs w:val="20"/>
              </w:rPr>
              <w:t>accuracy</w:t>
            </w:r>
          </w:p>
        </w:tc>
        <w:tc>
          <w:tcPr>
            <w:tcW w:w="5788" w:type="dxa"/>
          </w:tcPr>
          <w:p w14:paraId="7B399D87" w14:textId="24D7885C" w:rsidR="006A2E2A" w:rsidRPr="006E751A" w:rsidRDefault="006A2E2A" w:rsidP="009F1147">
            <w:pPr>
              <w:tabs>
                <w:tab w:val="center" w:pos="6480"/>
              </w:tabs>
              <w:autoSpaceDE w:val="0"/>
              <w:autoSpaceDN w:val="0"/>
              <w:adjustRightInd w:val="0"/>
              <w:rPr>
                <w:rFonts w:cstheme="minorHAnsi"/>
                <w:sz w:val="20"/>
                <w:szCs w:val="20"/>
              </w:rPr>
            </w:pPr>
            <w:r w:rsidRPr="006E751A">
              <w:rPr>
                <w:rFonts w:cstheme="minorHAnsi"/>
                <w:sz w:val="20"/>
                <w:szCs w:val="20"/>
              </w:rPr>
              <w:t>Geocoding accuracy indicator.  It is recommended that that only those with accuracy to at least zip code + 4 centroid are used in analyses, at least for sensitivity analysis.</w:t>
            </w:r>
          </w:p>
        </w:tc>
        <w:tc>
          <w:tcPr>
            <w:tcW w:w="1952" w:type="dxa"/>
          </w:tcPr>
          <w:p w14:paraId="7B970470" w14:textId="77777777" w:rsidR="006A2E2A" w:rsidRPr="006E751A" w:rsidRDefault="006A2E2A" w:rsidP="00696CFD">
            <w:pPr>
              <w:pStyle w:val="ListParagraph"/>
              <w:ind w:left="0"/>
              <w:rPr>
                <w:rFonts w:cstheme="minorHAnsi"/>
                <w:sz w:val="20"/>
                <w:szCs w:val="20"/>
              </w:rPr>
            </w:pPr>
            <w:r w:rsidRPr="006E751A">
              <w:rPr>
                <w:rFonts w:cstheme="minorHAnsi"/>
                <w:sz w:val="20"/>
                <w:szCs w:val="20"/>
              </w:rPr>
              <w:t>1 = Street level</w:t>
            </w:r>
          </w:p>
          <w:p w14:paraId="6B9246C7" w14:textId="77777777" w:rsidR="006A2E2A" w:rsidRPr="006E751A" w:rsidRDefault="006A2E2A" w:rsidP="00696CFD">
            <w:pPr>
              <w:pStyle w:val="ListParagraph"/>
              <w:ind w:left="0"/>
              <w:rPr>
                <w:rFonts w:cstheme="minorHAnsi"/>
                <w:sz w:val="20"/>
                <w:szCs w:val="20"/>
              </w:rPr>
            </w:pPr>
            <w:r w:rsidRPr="006E751A">
              <w:rPr>
                <w:rFonts w:cstheme="minorHAnsi"/>
                <w:sz w:val="20"/>
                <w:szCs w:val="20"/>
              </w:rPr>
              <w:t>2 = Zip+4 centroid level</w:t>
            </w:r>
          </w:p>
          <w:p w14:paraId="65B23780" w14:textId="77777777" w:rsidR="006A2E2A" w:rsidRPr="006E751A" w:rsidRDefault="006A2E2A" w:rsidP="00696CFD">
            <w:pPr>
              <w:pStyle w:val="ListParagraph"/>
              <w:ind w:left="0"/>
              <w:rPr>
                <w:rFonts w:cstheme="minorHAnsi"/>
                <w:sz w:val="20"/>
                <w:szCs w:val="20"/>
              </w:rPr>
            </w:pPr>
            <w:r w:rsidRPr="006E751A">
              <w:rPr>
                <w:rFonts w:cstheme="minorHAnsi"/>
                <w:sz w:val="20"/>
                <w:szCs w:val="20"/>
              </w:rPr>
              <w:t>3 = Zip+2 centroid level</w:t>
            </w:r>
          </w:p>
          <w:p w14:paraId="01082968" w14:textId="77777777" w:rsidR="006A2E2A" w:rsidRPr="006E751A" w:rsidRDefault="006A2E2A" w:rsidP="00696CFD">
            <w:pPr>
              <w:pStyle w:val="ListParagraph"/>
              <w:ind w:left="0"/>
              <w:rPr>
                <w:rFonts w:cstheme="minorHAnsi"/>
                <w:sz w:val="20"/>
                <w:szCs w:val="20"/>
              </w:rPr>
            </w:pPr>
            <w:r w:rsidRPr="006E751A">
              <w:rPr>
                <w:rFonts w:cstheme="minorHAnsi"/>
                <w:sz w:val="20"/>
                <w:szCs w:val="20"/>
              </w:rPr>
              <w:t>4 = Zip code centroid</w:t>
            </w:r>
          </w:p>
          <w:p w14:paraId="6C5D2D51" w14:textId="31293095" w:rsidR="006A2E2A" w:rsidRPr="006E751A" w:rsidRDefault="006A2E2A" w:rsidP="009F1147">
            <w:pPr>
              <w:tabs>
                <w:tab w:val="center" w:pos="6480"/>
              </w:tabs>
              <w:autoSpaceDE w:val="0"/>
              <w:autoSpaceDN w:val="0"/>
              <w:adjustRightInd w:val="0"/>
              <w:rPr>
                <w:rFonts w:cs="SAS Monospace"/>
                <w:b/>
                <w:sz w:val="20"/>
                <w:szCs w:val="20"/>
              </w:rPr>
            </w:pPr>
            <w:r w:rsidRPr="006E751A">
              <w:rPr>
                <w:rFonts w:cstheme="minorHAnsi"/>
                <w:sz w:val="20"/>
                <w:szCs w:val="20"/>
              </w:rPr>
              <w:t>5 = Unable to geocode</w:t>
            </w:r>
          </w:p>
        </w:tc>
      </w:tr>
      <w:tr w:rsidR="006A2E2A" w:rsidRPr="006E751A" w14:paraId="7857EBE1" w14:textId="77777777" w:rsidTr="00604541">
        <w:tc>
          <w:tcPr>
            <w:tcW w:w="977" w:type="dxa"/>
          </w:tcPr>
          <w:p w14:paraId="4FF30165" w14:textId="209CC14C" w:rsidR="006A2E2A" w:rsidRPr="006E751A" w:rsidRDefault="006E751A" w:rsidP="009F1147">
            <w:pPr>
              <w:tabs>
                <w:tab w:val="center" w:pos="6480"/>
              </w:tabs>
              <w:autoSpaceDE w:val="0"/>
              <w:autoSpaceDN w:val="0"/>
              <w:adjustRightInd w:val="0"/>
              <w:rPr>
                <w:rFonts w:cs="SAS Monospace"/>
                <w:sz w:val="20"/>
                <w:szCs w:val="20"/>
              </w:rPr>
            </w:pPr>
            <w:r w:rsidRPr="006E751A">
              <w:rPr>
                <w:rFonts w:cs="SAS Monospace"/>
                <w:sz w:val="20"/>
                <w:szCs w:val="20"/>
              </w:rPr>
              <w:t>4</w:t>
            </w:r>
          </w:p>
        </w:tc>
        <w:tc>
          <w:tcPr>
            <w:tcW w:w="1903" w:type="dxa"/>
          </w:tcPr>
          <w:p w14:paraId="38895FAD" w14:textId="25752651" w:rsidR="006A2E2A" w:rsidRPr="006E751A" w:rsidRDefault="006A2E2A" w:rsidP="009F1147">
            <w:pPr>
              <w:tabs>
                <w:tab w:val="center" w:pos="6480"/>
              </w:tabs>
              <w:autoSpaceDE w:val="0"/>
              <w:autoSpaceDN w:val="0"/>
              <w:adjustRightInd w:val="0"/>
              <w:rPr>
                <w:rFonts w:cs="SAS Monospace"/>
                <w:sz w:val="20"/>
                <w:szCs w:val="20"/>
              </w:rPr>
            </w:pPr>
            <w:r w:rsidRPr="006E751A">
              <w:rPr>
                <w:rFonts w:cs="SAS Monospace"/>
                <w:sz w:val="20"/>
                <w:szCs w:val="20"/>
              </w:rPr>
              <w:t>cenid</w:t>
            </w:r>
          </w:p>
        </w:tc>
        <w:tc>
          <w:tcPr>
            <w:tcW w:w="5788" w:type="dxa"/>
          </w:tcPr>
          <w:p w14:paraId="09283D7A" w14:textId="1A4BB311" w:rsidR="006A2E2A" w:rsidRPr="006E751A" w:rsidRDefault="006A2E2A" w:rsidP="009F1147">
            <w:pPr>
              <w:tabs>
                <w:tab w:val="center" w:pos="6480"/>
              </w:tabs>
              <w:autoSpaceDE w:val="0"/>
              <w:autoSpaceDN w:val="0"/>
              <w:adjustRightInd w:val="0"/>
              <w:rPr>
                <w:rFonts w:cstheme="minorHAnsi"/>
                <w:sz w:val="20"/>
                <w:szCs w:val="20"/>
              </w:rPr>
            </w:pPr>
            <w:r w:rsidRPr="006E751A">
              <w:rPr>
                <w:rFonts w:cstheme="minorHAnsi"/>
                <w:sz w:val="20"/>
                <w:szCs w:val="20"/>
              </w:rPr>
              <w:t>Fake census tract id for clustering analysis.  This should be used when using census tract level data in models.  This is from 2000 census since census 2000 and ACS use this geography.</w:t>
            </w:r>
          </w:p>
        </w:tc>
        <w:tc>
          <w:tcPr>
            <w:tcW w:w="1952" w:type="dxa"/>
          </w:tcPr>
          <w:p w14:paraId="67CB2BB0" w14:textId="77777777" w:rsidR="006A2E2A" w:rsidRPr="006E751A" w:rsidRDefault="006A2E2A" w:rsidP="00696CFD">
            <w:pPr>
              <w:pStyle w:val="ListParagraph"/>
              <w:ind w:left="0"/>
              <w:rPr>
                <w:rFonts w:cstheme="minorHAnsi"/>
                <w:sz w:val="20"/>
                <w:szCs w:val="20"/>
              </w:rPr>
            </w:pPr>
          </w:p>
        </w:tc>
      </w:tr>
      <w:tr w:rsidR="00CE4BB7" w:rsidRPr="006E751A" w14:paraId="6691981C" w14:textId="77777777" w:rsidTr="00604541">
        <w:tc>
          <w:tcPr>
            <w:tcW w:w="977" w:type="dxa"/>
          </w:tcPr>
          <w:p w14:paraId="67AAFB17" w14:textId="77777777" w:rsidR="00CE4BB7" w:rsidRDefault="00CE4BB7" w:rsidP="009F1147">
            <w:pPr>
              <w:tabs>
                <w:tab w:val="center" w:pos="6480"/>
              </w:tabs>
              <w:autoSpaceDE w:val="0"/>
              <w:autoSpaceDN w:val="0"/>
              <w:adjustRightInd w:val="0"/>
              <w:rPr>
                <w:rFonts w:cs="SAS Monospace"/>
                <w:sz w:val="20"/>
                <w:szCs w:val="20"/>
              </w:rPr>
            </w:pPr>
          </w:p>
        </w:tc>
        <w:tc>
          <w:tcPr>
            <w:tcW w:w="1903" w:type="dxa"/>
          </w:tcPr>
          <w:p w14:paraId="256F9486" w14:textId="77777777" w:rsidR="00CE4BB7" w:rsidRDefault="00CE4BB7" w:rsidP="009F1147">
            <w:pPr>
              <w:tabs>
                <w:tab w:val="center" w:pos="6480"/>
              </w:tabs>
              <w:autoSpaceDE w:val="0"/>
              <w:autoSpaceDN w:val="0"/>
              <w:adjustRightInd w:val="0"/>
              <w:rPr>
                <w:rFonts w:cs="SAS Monospace"/>
                <w:sz w:val="20"/>
                <w:szCs w:val="20"/>
              </w:rPr>
            </w:pPr>
          </w:p>
        </w:tc>
        <w:tc>
          <w:tcPr>
            <w:tcW w:w="5788" w:type="dxa"/>
          </w:tcPr>
          <w:p w14:paraId="44A19320" w14:textId="77777777" w:rsidR="00CE4BB7" w:rsidRPr="00436535" w:rsidRDefault="00CE4BB7" w:rsidP="009F1147">
            <w:pPr>
              <w:tabs>
                <w:tab w:val="center" w:pos="6480"/>
              </w:tabs>
              <w:autoSpaceDE w:val="0"/>
              <w:autoSpaceDN w:val="0"/>
              <w:adjustRightInd w:val="0"/>
              <w:rPr>
                <w:rFonts w:cstheme="minorHAnsi"/>
                <w:sz w:val="20"/>
                <w:szCs w:val="20"/>
              </w:rPr>
            </w:pPr>
          </w:p>
        </w:tc>
        <w:tc>
          <w:tcPr>
            <w:tcW w:w="1952" w:type="dxa"/>
          </w:tcPr>
          <w:p w14:paraId="0596002E" w14:textId="77777777" w:rsidR="00CE4BB7" w:rsidRPr="006E751A" w:rsidRDefault="00CE4BB7" w:rsidP="00696CFD">
            <w:pPr>
              <w:pStyle w:val="ListParagraph"/>
              <w:ind w:left="0"/>
              <w:rPr>
                <w:rFonts w:cstheme="minorHAnsi"/>
                <w:sz w:val="20"/>
                <w:szCs w:val="20"/>
              </w:rPr>
            </w:pPr>
          </w:p>
        </w:tc>
      </w:tr>
      <w:tr w:rsidR="00CE4BB7" w:rsidRPr="006E751A" w14:paraId="5BC0D338" w14:textId="77777777" w:rsidTr="00D4068B">
        <w:tc>
          <w:tcPr>
            <w:tcW w:w="10620" w:type="dxa"/>
            <w:gridSpan w:val="4"/>
          </w:tcPr>
          <w:p w14:paraId="6E3754E5" w14:textId="518D24C7" w:rsidR="00CE4BB7" w:rsidRPr="00CE4BB7" w:rsidRDefault="00CE4BB7" w:rsidP="00696CFD">
            <w:pPr>
              <w:pStyle w:val="ListParagraph"/>
              <w:ind w:left="0"/>
              <w:rPr>
                <w:rFonts w:cstheme="minorHAnsi"/>
                <w:b/>
                <w:sz w:val="20"/>
                <w:szCs w:val="20"/>
              </w:rPr>
            </w:pPr>
            <w:r w:rsidRPr="00CE4BB7">
              <w:rPr>
                <w:rFonts w:cs="SAS Monospace"/>
                <w:b/>
                <w:sz w:val="20"/>
                <w:szCs w:val="20"/>
              </w:rPr>
              <w:t>FOOD STORES</w:t>
            </w:r>
          </w:p>
        </w:tc>
      </w:tr>
      <w:tr w:rsidR="006E751A" w:rsidRPr="006E751A" w14:paraId="660088C3" w14:textId="77777777" w:rsidTr="00604541">
        <w:tc>
          <w:tcPr>
            <w:tcW w:w="977" w:type="dxa"/>
          </w:tcPr>
          <w:p w14:paraId="479071DA" w14:textId="3D8B8146" w:rsidR="006E751A" w:rsidRPr="006E751A" w:rsidRDefault="006E751A" w:rsidP="009F1147">
            <w:pPr>
              <w:tabs>
                <w:tab w:val="center" w:pos="6480"/>
              </w:tabs>
              <w:autoSpaceDE w:val="0"/>
              <w:autoSpaceDN w:val="0"/>
              <w:adjustRightInd w:val="0"/>
              <w:rPr>
                <w:rFonts w:cs="SAS Monospace"/>
                <w:sz w:val="20"/>
                <w:szCs w:val="20"/>
              </w:rPr>
            </w:pPr>
            <w:r>
              <w:rPr>
                <w:rFonts w:cs="SAS Monospace"/>
                <w:sz w:val="20"/>
                <w:szCs w:val="20"/>
              </w:rPr>
              <w:t>5</w:t>
            </w:r>
          </w:p>
        </w:tc>
        <w:tc>
          <w:tcPr>
            <w:tcW w:w="1903" w:type="dxa"/>
          </w:tcPr>
          <w:p w14:paraId="0B6CA1EC" w14:textId="2BEB2B81" w:rsidR="006E751A" w:rsidRPr="006E751A" w:rsidRDefault="006E751A" w:rsidP="009F1147">
            <w:pPr>
              <w:tabs>
                <w:tab w:val="center" w:pos="6480"/>
              </w:tabs>
              <w:autoSpaceDE w:val="0"/>
              <w:autoSpaceDN w:val="0"/>
              <w:adjustRightInd w:val="0"/>
              <w:rPr>
                <w:rFonts w:cs="SAS Monospace"/>
                <w:sz w:val="20"/>
                <w:szCs w:val="20"/>
              </w:rPr>
            </w:pPr>
            <w:r>
              <w:rPr>
                <w:rFonts w:cs="SAS Monospace"/>
                <w:sz w:val="20"/>
                <w:szCs w:val="20"/>
              </w:rPr>
              <w:t>K0SCH</w:t>
            </w:r>
          </w:p>
        </w:tc>
        <w:tc>
          <w:tcPr>
            <w:tcW w:w="5788" w:type="dxa"/>
          </w:tcPr>
          <w:p w14:paraId="618C9986" w14:textId="696422D7" w:rsidR="006E751A" w:rsidRPr="006E751A" w:rsidRDefault="006E751A" w:rsidP="009F1147">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9EA8BC2" w14:textId="77777777" w:rsidR="006E751A" w:rsidRPr="006E751A" w:rsidRDefault="006E751A" w:rsidP="00696CFD">
            <w:pPr>
              <w:pStyle w:val="ListParagraph"/>
              <w:ind w:left="0"/>
              <w:rPr>
                <w:rFonts w:cstheme="minorHAnsi"/>
                <w:sz w:val="20"/>
                <w:szCs w:val="20"/>
              </w:rPr>
            </w:pPr>
          </w:p>
        </w:tc>
      </w:tr>
      <w:tr w:rsidR="006E751A" w:rsidRPr="006E751A" w14:paraId="7DD22561" w14:textId="77777777" w:rsidTr="00604541">
        <w:tc>
          <w:tcPr>
            <w:tcW w:w="977" w:type="dxa"/>
          </w:tcPr>
          <w:p w14:paraId="2C3481EA" w14:textId="01F0EDB5"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6</w:t>
            </w:r>
          </w:p>
        </w:tc>
        <w:tc>
          <w:tcPr>
            <w:tcW w:w="1903" w:type="dxa"/>
          </w:tcPr>
          <w:p w14:paraId="7568B423" w14:textId="12DBE8C9"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K0SMALL</w:t>
            </w:r>
          </w:p>
        </w:tc>
        <w:tc>
          <w:tcPr>
            <w:tcW w:w="5788" w:type="dxa"/>
          </w:tcPr>
          <w:p w14:paraId="4CD3A384" w14:textId="3C563153" w:rsidR="006E751A" w:rsidRPr="00436535" w:rsidRDefault="006E751A" w:rsidP="006E751A">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E34E215" w14:textId="77777777" w:rsidR="006E751A" w:rsidRPr="006E751A" w:rsidRDefault="006E751A" w:rsidP="00696CFD">
            <w:pPr>
              <w:pStyle w:val="ListParagraph"/>
              <w:ind w:left="0"/>
              <w:rPr>
                <w:rFonts w:cstheme="minorHAnsi"/>
                <w:sz w:val="20"/>
                <w:szCs w:val="20"/>
              </w:rPr>
            </w:pPr>
          </w:p>
        </w:tc>
      </w:tr>
      <w:tr w:rsidR="006E751A" w:rsidRPr="006E751A" w14:paraId="6A9EDF45" w14:textId="77777777" w:rsidTr="00604541">
        <w:tc>
          <w:tcPr>
            <w:tcW w:w="977" w:type="dxa"/>
          </w:tcPr>
          <w:p w14:paraId="5D2C54C8" w14:textId="6BE836FA"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7</w:t>
            </w:r>
          </w:p>
        </w:tc>
        <w:tc>
          <w:tcPr>
            <w:tcW w:w="1903" w:type="dxa"/>
          </w:tcPr>
          <w:p w14:paraId="08BD6675" w14:textId="4691F7A7"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K0FFC</w:t>
            </w:r>
          </w:p>
        </w:tc>
        <w:tc>
          <w:tcPr>
            <w:tcW w:w="5788" w:type="dxa"/>
          </w:tcPr>
          <w:p w14:paraId="65105C43" w14:textId="14CF6A28" w:rsidR="006E751A" w:rsidRPr="00436535" w:rsidRDefault="006E751A" w:rsidP="006E751A">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fast food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FB0544D" w14:textId="77777777" w:rsidR="006E751A" w:rsidRPr="006E751A" w:rsidRDefault="006E751A" w:rsidP="00696CFD">
            <w:pPr>
              <w:pStyle w:val="ListParagraph"/>
              <w:ind w:left="0"/>
              <w:rPr>
                <w:rFonts w:cstheme="minorHAnsi"/>
                <w:sz w:val="20"/>
                <w:szCs w:val="20"/>
              </w:rPr>
            </w:pPr>
          </w:p>
        </w:tc>
      </w:tr>
      <w:tr w:rsidR="006E751A" w:rsidRPr="006E751A" w14:paraId="4B523FFA" w14:textId="77777777" w:rsidTr="00604541">
        <w:tc>
          <w:tcPr>
            <w:tcW w:w="977" w:type="dxa"/>
          </w:tcPr>
          <w:p w14:paraId="117BF40C" w14:textId="4FECD832"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8</w:t>
            </w:r>
          </w:p>
        </w:tc>
        <w:tc>
          <w:tcPr>
            <w:tcW w:w="1903" w:type="dxa"/>
          </w:tcPr>
          <w:p w14:paraId="5B4E1E5D" w14:textId="4C2ED27A"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K0FFALL</w:t>
            </w:r>
          </w:p>
        </w:tc>
        <w:tc>
          <w:tcPr>
            <w:tcW w:w="5788" w:type="dxa"/>
          </w:tcPr>
          <w:p w14:paraId="5EEFC3DA" w14:textId="1B9849B2" w:rsidR="006E751A" w:rsidRPr="00436535" w:rsidRDefault="006E751A" w:rsidP="006E751A">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F397BE1" w14:textId="77777777" w:rsidR="006E751A" w:rsidRPr="006E751A" w:rsidRDefault="006E751A" w:rsidP="00696CFD">
            <w:pPr>
              <w:pStyle w:val="ListParagraph"/>
              <w:ind w:left="0"/>
              <w:rPr>
                <w:rFonts w:cstheme="minorHAnsi"/>
                <w:sz w:val="20"/>
                <w:szCs w:val="20"/>
              </w:rPr>
            </w:pPr>
          </w:p>
        </w:tc>
      </w:tr>
      <w:tr w:rsidR="006E751A" w:rsidRPr="006E751A" w14:paraId="561D5923" w14:textId="77777777" w:rsidTr="00604541">
        <w:tc>
          <w:tcPr>
            <w:tcW w:w="977" w:type="dxa"/>
          </w:tcPr>
          <w:p w14:paraId="355456C5" w14:textId="3C4FE1D8"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9</w:t>
            </w:r>
          </w:p>
        </w:tc>
        <w:tc>
          <w:tcPr>
            <w:tcW w:w="1903" w:type="dxa"/>
          </w:tcPr>
          <w:p w14:paraId="7F919576" w14:textId="1301F687"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K0LIQ</w:t>
            </w:r>
          </w:p>
        </w:tc>
        <w:tc>
          <w:tcPr>
            <w:tcW w:w="5788" w:type="dxa"/>
          </w:tcPr>
          <w:p w14:paraId="0F1FBE2A" w14:textId="6A7F4917" w:rsidR="006E751A" w:rsidRPr="00436535" w:rsidRDefault="006E751A" w:rsidP="006E751A">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4FCF131F" w14:textId="77777777" w:rsidR="006E751A" w:rsidRPr="006E751A" w:rsidRDefault="006E751A" w:rsidP="00696CFD">
            <w:pPr>
              <w:pStyle w:val="ListParagraph"/>
              <w:ind w:left="0"/>
              <w:rPr>
                <w:rFonts w:cstheme="minorHAnsi"/>
                <w:sz w:val="20"/>
                <w:szCs w:val="20"/>
              </w:rPr>
            </w:pPr>
          </w:p>
        </w:tc>
      </w:tr>
      <w:tr w:rsidR="006E751A" w:rsidRPr="006E751A" w14:paraId="342D7120" w14:textId="77777777" w:rsidTr="00604541">
        <w:tc>
          <w:tcPr>
            <w:tcW w:w="977" w:type="dxa"/>
          </w:tcPr>
          <w:p w14:paraId="401F5C43" w14:textId="5F97ED70"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10</w:t>
            </w:r>
          </w:p>
        </w:tc>
        <w:tc>
          <w:tcPr>
            <w:tcW w:w="1903" w:type="dxa"/>
          </w:tcPr>
          <w:p w14:paraId="0E234611" w14:textId="6EE571B5"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K0ALC</w:t>
            </w:r>
          </w:p>
        </w:tc>
        <w:tc>
          <w:tcPr>
            <w:tcW w:w="5788" w:type="dxa"/>
          </w:tcPr>
          <w:p w14:paraId="7A43B7D7" w14:textId="7CC967FC" w:rsidR="006E751A" w:rsidRPr="00436535" w:rsidRDefault="006E751A" w:rsidP="006E751A">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12F09FC1" w14:textId="77777777" w:rsidR="006E751A" w:rsidRPr="006E751A" w:rsidRDefault="006E751A" w:rsidP="00696CFD">
            <w:pPr>
              <w:pStyle w:val="ListParagraph"/>
              <w:ind w:left="0"/>
              <w:rPr>
                <w:rFonts w:cstheme="minorHAnsi"/>
                <w:sz w:val="20"/>
                <w:szCs w:val="20"/>
              </w:rPr>
            </w:pPr>
          </w:p>
        </w:tc>
      </w:tr>
      <w:tr w:rsidR="006E751A" w:rsidRPr="006E751A" w14:paraId="141F14B7" w14:textId="77777777" w:rsidTr="00604541">
        <w:tc>
          <w:tcPr>
            <w:tcW w:w="977" w:type="dxa"/>
          </w:tcPr>
          <w:p w14:paraId="36E7D2A6" w14:textId="627CD6F3" w:rsidR="006E751A" w:rsidRDefault="006E751A" w:rsidP="009F1147">
            <w:pPr>
              <w:tabs>
                <w:tab w:val="center" w:pos="6480"/>
              </w:tabs>
              <w:autoSpaceDE w:val="0"/>
              <w:autoSpaceDN w:val="0"/>
              <w:adjustRightInd w:val="0"/>
              <w:rPr>
                <w:rFonts w:cs="SAS Monospace"/>
                <w:sz w:val="20"/>
                <w:szCs w:val="20"/>
              </w:rPr>
            </w:pPr>
            <w:r>
              <w:rPr>
                <w:rFonts w:cs="SAS Monospace"/>
                <w:sz w:val="20"/>
                <w:szCs w:val="20"/>
              </w:rPr>
              <w:t>11</w:t>
            </w:r>
          </w:p>
        </w:tc>
        <w:tc>
          <w:tcPr>
            <w:tcW w:w="1903" w:type="dxa"/>
          </w:tcPr>
          <w:p w14:paraId="7688F6F4" w14:textId="1931DC14" w:rsidR="006E751A" w:rsidRDefault="006E751A" w:rsidP="006E751A">
            <w:pPr>
              <w:tabs>
                <w:tab w:val="center" w:pos="6480"/>
              </w:tabs>
              <w:autoSpaceDE w:val="0"/>
              <w:autoSpaceDN w:val="0"/>
              <w:adjustRightInd w:val="0"/>
              <w:rPr>
                <w:rFonts w:cs="SAS Monospace"/>
                <w:sz w:val="20"/>
                <w:szCs w:val="20"/>
              </w:rPr>
            </w:pPr>
            <w:r>
              <w:rPr>
                <w:rFonts w:cs="SAS Monospace"/>
                <w:sz w:val="20"/>
                <w:szCs w:val="20"/>
              </w:rPr>
              <w:t>K0ALLALC</w:t>
            </w:r>
          </w:p>
        </w:tc>
        <w:tc>
          <w:tcPr>
            <w:tcW w:w="5788" w:type="dxa"/>
          </w:tcPr>
          <w:p w14:paraId="7F76E7DF" w14:textId="6C29B880" w:rsidR="006E751A" w:rsidRPr="00436535" w:rsidRDefault="006E751A" w:rsidP="006E751A">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FAA522C" w14:textId="77777777" w:rsidR="006E751A" w:rsidRPr="006E751A" w:rsidRDefault="006E751A" w:rsidP="00696CFD">
            <w:pPr>
              <w:pStyle w:val="ListParagraph"/>
              <w:ind w:left="0"/>
              <w:rPr>
                <w:rFonts w:cstheme="minorHAnsi"/>
                <w:sz w:val="20"/>
                <w:szCs w:val="20"/>
              </w:rPr>
            </w:pPr>
          </w:p>
        </w:tc>
      </w:tr>
      <w:tr w:rsidR="004D40F9" w:rsidRPr="006E751A" w14:paraId="382ECE64" w14:textId="77777777" w:rsidTr="00604541">
        <w:tc>
          <w:tcPr>
            <w:tcW w:w="977" w:type="dxa"/>
          </w:tcPr>
          <w:p w14:paraId="713BD3DF" w14:textId="76B0A20C"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12</w:t>
            </w:r>
          </w:p>
        </w:tc>
        <w:tc>
          <w:tcPr>
            <w:tcW w:w="1903" w:type="dxa"/>
          </w:tcPr>
          <w:p w14:paraId="1F3C02A2" w14:textId="37284F62" w:rsidR="004D40F9" w:rsidRDefault="004D40F9" w:rsidP="006E751A">
            <w:pPr>
              <w:tabs>
                <w:tab w:val="center" w:pos="6480"/>
              </w:tabs>
              <w:autoSpaceDE w:val="0"/>
              <w:autoSpaceDN w:val="0"/>
              <w:adjustRightInd w:val="0"/>
              <w:rPr>
                <w:rFonts w:cs="SAS Monospace"/>
                <w:sz w:val="20"/>
                <w:szCs w:val="20"/>
              </w:rPr>
            </w:pPr>
            <w:r w:rsidRPr="00436535">
              <w:rPr>
                <w:rFonts w:cstheme="minorHAnsi"/>
                <w:sz w:val="20"/>
                <w:szCs w:val="20"/>
              </w:rPr>
              <w:t>K0FAV</w:t>
            </w:r>
          </w:p>
        </w:tc>
        <w:tc>
          <w:tcPr>
            <w:tcW w:w="5788" w:type="dxa"/>
          </w:tcPr>
          <w:p w14:paraId="5C3DB4A0" w14:textId="0AD6C718" w:rsidR="004D40F9" w:rsidRDefault="004D40F9" w:rsidP="004D40F9">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46474BAC" w14:textId="77777777" w:rsidR="004D40F9" w:rsidRPr="006E751A" w:rsidRDefault="004D40F9" w:rsidP="00696CFD">
            <w:pPr>
              <w:pStyle w:val="ListParagraph"/>
              <w:ind w:left="0"/>
              <w:rPr>
                <w:rFonts w:cstheme="minorHAnsi"/>
                <w:sz w:val="20"/>
                <w:szCs w:val="20"/>
              </w:rPr>
            </w:pPr>
          </w:p>
        </w:tc>
      </w:tr>
      <w:tr w:rsidR="004D40F9" w:rsidRPr="006E751A" w14:paraId="4E8E1F4A" w14:textId="77777777" w:rsidTr="00604541">
        <w:tc>
          <w:tcPr>
            <w:tcW w:w="977" w:type="dxa"/>
          </w:tcPr>
          <w:p w14:paraId="3771B2BE" w14:textId="3D533CF0"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13</w:t>
            </w:r>
          </w:p>
        </w:tc>
        <w:tc>
          <w:tcPr>
            <w:tcW w:w="1903" w:type="dxa"/>
          </w:tcPr>
          <w:p w14:paraId="1FE306FB" w14:textId="75C2AC7B" w:rsidR="004D40F9" w:rsidRPr="00436535" w:rsidRDefault="004D40F9" w:rsidP="006E751A">
            <w:pPr>
              <w:tabs>
                <w:tab w:val="center" w:pos="6480"/>
              </w:tabs>
              <w:autoSpaceDE w:val="0"/>
              <w:autoSpaceDN w:val="0"/>
              <w:adjustRightInd w:val="0"/>
              <w:rPr>
                <w:rFonts w:cstheme="minorHAnsi"/>
                <w:sz w:val="20"/>
                <w:szCs w:val="20"/>
              </w:rPr>
            </w:pPr>
            <w:r w:rsidRPr="00436535">
              <w:rPr>
                <w:rFonts w:cstheme="minorHAnsi"/>
                <w:sz w:val="20"/>
                <w:szCs w:val="20"/>
              </w:rPr>
              <w:t>K0UNFAV</w:t>
            </w:r>
          </w:p>
        </w:tc>
        <w:tc>
          <w:tcPr>
            <w:tcW w:w="5788" w:type="dxa"/>
          </w:tcPr>
          <w:p w14:paraId="638F8A7F" w14:textId="6CA0880E" w:rsidR="004D40F9" w:rsidRPr="00436535" w:rsidRDefault="004D40F9" w:rsidP="004D40F9">
            <w:pPr>
              <w:tabs>
                <w:tab w:val="center" w:pos="6480"/>
              </w:tabs>
              <w:autoSpaceDE w:val="0"/>
              <w:autoSpaceDN w:val="0"/>
              <w:adjustRightInd w:val="0"/>
              <w:rPr>
                <w:rFonts w:cstheme="minorHAnsi"/>
                <w:sz w:val="20"/>
                <w:szCs w:val="20"/>
              </w:rPr>
            </w:pPr>
            <w:r w:rsidRPr="00436535">
              <w:rPr>
                <w:rFonts w:cstheme="minorHAnsi"/>
                <w:sz w:val="20"/>
                <w:szCs w:val="20"/>
              </w:rPr>
              <w:t>1/2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 xml:space="preserve">convenience stores, </w:t>
            </w:r>
            <w:r w:rsidRPr="00436535">
              <w:rPr>
                <w:rFonts w:cstheme="minorHAnsi"/>
                <w:sz w:val="20"/>
                <w:szCs w:val="20"/>
              </w:rPr>
              <w:lastRenderedPageBreak/>
              <w:t>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14C116A3" w14:textId="77777777" w:rsidR="004D40F9" w:rsidRPr="006E751A" w:rsidRDefault="004D40F9" w:rsidP="00696CFD">
            <w:pPr>
              <w:pStyle w:val="ListParagraph"/>
              <w:ind w:left="0"/>
              <w:rPr>
                <w:rFonts w:cstheme="minorHAnsi"/>
                <w:sz w:val="20"/>
                <w:szCs w:val="20"/>
              </w:rPr>
            </w:pPr>
          </w:p>
        </w:tc>
      </w:tr>
      <w:tr w:rsidR="004D40F9" w:rsidRPr="006E751A" w14:paraId="6F31891A" w14:textId="77777777" w:rsidTr="00604541">
        <w:tc>
          <w:tcPr>
            <w:tcW w:w="977" w:type="dxa"/>
          </w:tcPr>
          <w:p w14:paraId="08F4CCEF" w14:textId="5A65997D"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lastRenderedPageBreak/>
              <w:t>14</w:t>
            </w:r>
          </w:p>
        </w:tc>
        <w:tc>
          <w:tcPr>
            <w:tcW w:w="1903" w:type="dxa"/>
          </w:tcPr>
          <w:p w14:paraId="3266900B" w14:textId="2C3C7935" w:rsidR="004D40F9" w:rsidRPr="00436535" w:rsidRDefault="004D40F9" w:rsidP="006E751A">
            <w:pPr>
              <w:tabs>
                <w:tab w:val="center" w:pos="6480"/>
              </w:tabs>
              <w:autoSpaceDE w:val="0"/>
              <w:autoSpaceDN w:val="0"/>
              <w:adjustRightInd w:val="0"/>
              <w:rPr>
                <w:rFonts w:cstheme="minorHAnsi"/>
                <w:sz w:val="20"/>
                <w:szCs w:val="20"/>
              </w:rPr>
            </w:pPr>
            <w:r>
              <w:rPr>
                <w:rFonts w:cstheme="minorHAnsi"/>
                <w:sz w:val="20"/>
                <w:szCs w:val="20"/>
              </w:rPr>
              <w:t>K</w:t>
            </w:r>
            <w:r w:rsidRPr="00436535">
              <w:rPr>
                <w:rFonts w:cstheme="minorHAnsi"/>
                <w:sz w:val="20"/>
                <w:szCs w:val="20"/>
              </w:rPr>
              <w:t>0UNFAVFO</w:t>
            </w:r>
          </w:p>
        </w:tc>
        <w:tc>
          <w:tcPr>
            <w:tcW w:w="5788" w:type="dxa"/>
          </w:tcPr>
          <w:p w14:paraId="23B0B7B6" w14:textId="53F7A272" w:rsidR="004D40F9" w:rsidRPr="00436535" w:rsidRDefault="004D40F9" w:rsidP="004D40F9">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4D84800E" w14:textId="77777777" w:rsidR="004D40F9" w:rsidRPr="006E751A" w:rsidRDefault="004D40F9" w:rsidP="00696CFD">
            <w:pPr>
              <w:pStyle w:val="ListParagraph"/>
              <w:ind w:left="0"/>
              <w:rPr>
                <w:rFonts w:cstheme="minorHAnsi"/>
                <w:sz w:val="20"/>
                <w:szCs w:val="20"/>
              </w:rPr>
            </w:pPr>
          </w:p>
        </w:tc>
      </w:tr>
      <w:tr w:rsidR="004D40F9" w:rsidRPr="006E751A" w14:paraId="583410E0" w14:textId="77777777" w:rsidTr="00604541">
        <w:tc>
          <w:tcPr>
            <w:tcW w:w="977" w:type="dxa"/>
          </w:tcPr>
          <w:p w14:paraId="1B46904F" w14:textId="60783B5D"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15</w:t>
            </w:r>
          </w:p>
        </w:tc>
        <w:tc>
          <w:tcPr>
            <w:tcW w:w="1903" w:type="dxa"/>
          </w:tcPr>
          <w:p w14:paraId="7D1AD826" w14:textId="6ACB828A" w:rsidR="004D40F9" w:rsidRDefault="004D40F9" w:rsidP="006E751A">
            <w:pPr>
              <w:tabs>
                <w:tab w:val="center" w:pos="6480"/>
              </w:tabs>
              <w:autoSpaceDE w:val="0"/>
              <w:autoSpaceDN w:val="0"/>
              <w:adjustRightInd w:val="0"/>
              <w:rPr>
                <w:rFonts w:cstheme="minorHAnsi"/>
                <w:sz w:val="20"/>
                <w:szCs w:val="20"/>
              </w:rPr>
            </w:pPr>
            <w:r>
              <w:rPr>
                <w:rFonts w:cstheme="minorHAnsi"/>
                <w:sz w:val="20"/>
                <w:szCs w:val="20"/>
              </w:rPr>
              <w:t>K0TOTFOOD</w:t>
            </w:r>
          </w:p>
        </w:tc>
        <w:tc>
          <w:tcPr>
            <w:tcW w:w="5788" w:type="dxa"/>
          </w:tcPr>
          <w:p w14:paraId="09E32584" w14:textId="182595DA"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1/2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6A22E83B" w14:textId="77777777" w:rsidR="004D40F9" w:rsidRPr="006E751A" w:rsidRDefault="004D40F9" w:rsidP="00696CFD">
            <w:pPr>
              <w:pStyle w:val="ListParagraph"/>
              <w:ind w:left="0"/>
              <w:rPr>
                <w:rFonts w:cstheme="minorHAnsi"/>
                <w:sz w:val="20"/>
                <w:szCs w:val="20"/>
              </w:rPr>
            </w:pPr>
          </w:p>
        </w:tc>
      </w:tr>
      <w:tr w:rsidR="004D40F9" w:rsidRPr="006E751A" w14:paraId="3A20EE14" w14:textId="77777777" w:rsidTr="00604541">
        <w:tc>
          <w:tcPr>
            <w:tcW w:w="977" w:type="dxa"/>
          </w:tcPr>
          <w:p w14:paraId="1B31B6AD" w14:textId="1C5A52C7"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16</w:t>
            </w:r>
          </w:p>
        </w:tc>
        <w:tc>
          <w:tcPr>
            <w:tcW w:w="1903" w:type="dxa"/>
          </w:tcPr>
          <w:p w14:paraId="5D39C54A" w14:textId="4C7A5EA2" w:rsidR="004D40F9" w:rsidRDefault="004D40F9" w:rsidP="006E751A">
            <w:pPr>
              <w:tabs>
                <w:tab w:val="center" w:pos="6480"/>
              </w:tabs>
              <w:autoSpaceDE w:val="0"/>
              <w:autoSpaceDN w:val="0"/>
              <w:adjustRightInd w:val="0"/>
              <w:rPr>
                <w:rFonts w:cstheme="minorHAnsi"/>
                <w:sz w:val="20"/>
                <w:szCs w:val="20"/>
              </w:rPr>
            </w:pPr>
            <w:r w:rsidRPr="00436535">
              <w:rPr>
                <w:rFonts w:cstheme="minorHAnsi"/>
                <w:sz w:val="20"/>
                <w:szCs w:val="20"/>
              </w:rPr>
              <w:t>K0MRFEI_TOT</w:t>
            </w:r>
          </w:p>
        </w:tc>
        <w:tc>
          <w:tcPr>
            <w:tcW w:w="5788" w:type="dxa"/>
          </w:tcPr>
          <w:p w14:paraId="0C529BCD" w14:textId="765010D5" w:rsidR="004D40F9" w:rsidRDefault="004D40F9" w:rsidP="004D40F9">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½ mile kernel density.  This is calculated from K0FAV/(K0FAV+K0UNFAV).</w:t>
            </w:r>
          </w:p>
        </w:tc>
        <w:tc>
          <w:tcPr>
            <w:tcW w:w="1952" w:type="dxa"/>
          </w:tcPr>
          <w:p w14:paraId="582FBADF" w14:textId="348D2F9A" w:rsidR="004D40F9" w:rsidRPr="006E751A" w:rsidRDefault="004D40F9"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4D40F9" w:rsidRPr="006E751A" w14:paraId="2F8F3A64" w14:textId="77777777" w:rsidTr="00604541">
        <w:tc>
          <w:tcPr>
            <w:tcW w:w="977" w:type="dxa"/>
          </w:tcPr>
          <w:p w14:paraId="1F9E3EC3" w14:textId="24BFE193"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17</w:t>
            </w:r>
          </w:p>
        </w:tc>
        <w:tc>
          <w:tcPr>
            <w:tcW w:w="1903" w:type="dxa"/>
          </w:tcPr>
          <w:p w14:paraId="14DA8833" w14:textId="14DEE2F1" w:rsidR="004D40F9" w:rsidRPr="00436535" w:rsidRDefault="004D40F9" w:rsidP="006E751A">
            <w:pPr>
              <w:tabs>
                <w:tab w:val="center" w:pos="6480"/>
              </w:tabs>
              <w:autoSpaceDE w:val="0"/>
              <w:autoSpaceDN w:val="0"/>
              <w:adjustRightInd w:val="0"/>
              <w:rPr>
                <w:rFonts w:cstheme="minorHAnsi"/>
                <w:sz w:val="20"/>
                <w:szCs w:val="20"/>
              </w:rPr>
            </w:pPr>
            <w:r w:rsidRPr="00436535">
              <w:rPr>
                <w:rFonts w:cstheme="minorHAnsi"/>
                <w:sz w:val="20"/>
                <w:szCs w:val="20"/>
              </w:rPr>
              <w:t>K0MRFEI_NOALC</w:t>
            </w:r>
          </w:p>
        </w:tc>
        <w:tc>
          <w:tcPr>
            <w:tcW w:w="5788" w:type="dxa"/>
          </w:tcPr>
          <w:p w14:paraId="1EA7B956" w14:textId="664BAFFD" w:rsidR="004D40F9" w:rsidRPr="00436535" w:rsidRDefault="004D40F9" w:rsidP="004D40F9">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½ mile kernel density.  This is calculated from K0FAV/(K0FAV+K0UNFAVFO).</w:t>
            </w:r>
          </w:p>
        </w:tc>
        <w:tc>
          <w:tcPr>
            <w:tcW w:w="1952" w:type="dxa"/>
          </w:tcPr>
          <w:p w14:paraId="237DE38C" w14:textId="00AB69DC" w:rsidR="004D40F9" w:rsidRPr="00436535" w:rsidRDefault="004D40F9"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4D40F9" w:rsidRPr="006E751A" w14:paraId="17141AC1" w14:textId="77777777" w:rsidTr="00604541">
        <w:tc>
          <w:tcPr>
            <w:tcW w:w="977" w:type="dxa"/>
          </w:tcPr>
          <w:p w14:paraId="7376E3BA" w14:textId="71F9A70B"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18</w:t>
            </w:r>
          </w:p>
        </w:tc>
        <w:tc>
          <w:tcPr>
            <w:tcW w:w="1903" w:type="dxa"/>
          </w:tcPr>
          <w:p w14:paraId="330B464A" w14:textId="68F82402" w:rsidR="004D40F9" w:rsidRPr="00436535" w:rsidRDefault="004D40F9" w:rsidP="006E751A">
            <w:pPr>
              <w:tabs>
                <w:tab w:val="center" w:pos="6480"/>
              </w:tabs>
              <w:autoSpaceDE w:val="0"/>
              <w:autoSpaceDN w:val="0"/>
              <w:adjustRightInd w:val="0"/>
              <w:rPr>
                <w:rFonts w:cstheme="minorHAnsi"/>
                <w:sz w:val="20"/>
                <w:szCs w:val="20"/>
              </w:rPr>
            </w:pPr>
            <w:r>
              <w:rPr>
                <w:rFonts w:cs="SAS Monospace"/>
                <w:sz w:val="20"/>
                <w:szCs w:val="20"/>
              </w:rPr>
              <w:t>A_K0SCH</w:t>
            </w:r>
          </w:p>
        </w:tc>
        <w:tc>
          <w:tcPr>
            <w:tcW w:w="5788" w:type="dxa"/>
          </w:tcPr>
          <w:p w14:paraId="52945821" w14:textId="118A50FA"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005BC43" w14:textId="77777777" w:rsidR="004D40F9" w:rsidRPr="00436535" w:rsidRDefault="004D40F9" w:rsidP="004D40F9">
            <w:pPr>
              <w:pStyle w:val="ListParagraph"/>
              <w:ind w:left="0"/>
              <w:rPr>
                <w:rFonts w:cstheme="minorHAnsi"/>
                <w:sz w:val="20"/>
                <w:szCs w:val="20"/>
              </w:rPr>
            </w:pPr>
          </w:p>
        </w:tc>
      </w:tr>
      <w:tr w:rsidR="004D40F9" w:rsidRPr="006E751A" w14:paraId="20D7B4F5" w14:textId="77777777" w:rsidTr="00604541">
        <w:tc>
          <w:tcPr>
            <w:tcW w:w="977" w:type="dxa"/>
          </w:tcPr>
          <w:p w14:paraId="728131B5" w14:textId="0CE9AF3B"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19</w:t>
            </w:r>
          </w:p>
        </w:tc>
        <w:tc>
          <w:tcPr>
            <w:tcW w:w="1903" w:type="dxa"/>
          </w:tcPr>
          <w:p w14:paraId="615CE157" w14:textId="2054AD9D"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A_K0SMALL</w:t>
            </w:r>
          </w:p>
        </w:tc>
        <w:tc>
          <w:tcPr>
            <w:tcW w:w="5788" w:type="dxa"/>
          </w:tcPr>
          <w:p w14:paraId="433DB8B9" w14:textId="5E1BBB95"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1E45D2F" w14:textId="77777777" w:rsidR="004D40F9" w:rsidRPr="00436535" w:rsidRDefault="004D40F9" w:rsidP="004D40F9">
            <w:pPr>
              <w:pStyle w:val="ListParagraph"/>
              <w:ind w:left="0"/>
              <w:rPr>
                <w:rFonts w:cstheme="minorHAnsi"/>
                <w:sz w:val="20"/>
                <w:szCs w:val="20"/>
              </w:rPr>
            </w:pPr>
          </w:p>
        </w:tc>
      </w:tr>
      <w:tr w:rsidR="004D40F9" w:rsidRPr="006E751A" w14:paraId="3DC56EA5" w14:textId="77777777" w:rsidTr="00604541">
        <w:tc>
          <w:tcPr>
            <w:tcW w:w="977" w:type="dxa"/>
          </w:tcPr>
          <w:p w14:paraId="03B26098" w14:textId="7413D7D9"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20</w:t>
            </w:r>
          </w:p>
        </w:tc>
        <w:tc>
          <w:tcPr>
            <w:tcW w:w="1903" w:type="dxa"/>
          </w:tcPr>
          <w:p w14:paraId="6D306B8D" w14:textId="384C8835"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A_K0FFC</w:t>
            </w:r>
          </w:p>
        </w:tc>
        <w:tc>
          <w:tcPr>
            <w:tcW w:w="5788" w:type="dxa"/>
          </w:tcPr>
          <w:p w14:paraId="759AF33C" w14:textId="6B123424"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fast food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54723E1B" w14:textId="77777777" w:rsidR="004D40F9" w:rsidRPr="00436535" w:rsidRDefault="004D40F9" w:rsidP="004D40F9">
            <w:pPr>
              <w:pStyle w:val="ListParagraph"/>
              <w:ind w:left="0"/>
              <w:rPr>
                <w:rFonts w:cstheme="minorHAnsi"/>
                <w:sz w:val="20"/>
                <w:szCs w:val="20"/>
              </w:rPr>
            </w:pPr>
          </w:p>
        </w:tc>
      </w:tr>
      <w:tr w:rsidR="004D40F9" w:rsidRPr="006E751A" w14:paraId="6C20B906" w14:textId="77777777" w:rsidTr="00604541">
        <w:tc>
          <w:tcPr>
            <w:tcW w:w="977" w:type="dxa"/>
          </w:tcPr>
          <w:p w14:paraId="2F416FBD" w14:textId="30A8E5C4"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21</w:t>
            </w:r>
          </w:p>
        </w:tc>
        <w:tc>
          <w:tcPr>
            <w:tcW w:w="1903" w:type="dxa"/>
          </w:tcPr>
          <w:p w14:paraId="7C6867D2" w14:textId="5A837043"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A_K0FFALL</w:t>
            </w:r>
          </w:p>
        </w:tc>
        <w:tc>
          <w:tcPr>
            <w:tcW w:w="5788" w:type="dxa"/>
          </w:tcPr>
          <w:p w14:paraId="4C63CC0A" w14:textId="7F768EEE"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B9772ED" w14:textId="77777777" w:rsidR="004D40F9" w:rsidRPr="00436535" w:rsidRDefault="004D40F9" w:rsidP="004D40F9">
            <w:pPr>
              <w:pStyle w:val="ListParagraph"/>
              <w:ind w:left="0"/>
              <w:rPr>
                <w:rFonts w:cstheme="minorHAnsi"/>
                <w:sz w:val="20"/>
                <w:szCs w:val="20"/>
              </w:rPr>
            </w:pPr>
          </w:p>
        </w:tc>
      </w:tr>
      <w:tr w:rsidR="004D40F9" w:rsidRPr="006E751A" w14:paraId="37CAD525" w14:textId="77777777" w:rsidTr="00604541">
        <w:tc>
          <w:tcPr>
            <w:tcW w:w="977" w:type="dxa"/>
          </w:tcPr>
          <w:p w14:paraId="34A920C0" w14:textId="4265E6A5"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22</w:t>
            </w:r>
          </w:p>
        </w:tc>
        <w:tc>
          <w:tcPr>
            <w:tcW w:w="1903" w:type="dxa"/>
          </w:tcPr>
          <w:p w14:paraId="575A2F2E" w14:textId="54734E91"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A_K0LIQ</w:t>
            </w:r>
          </w:p>
        </w:tc>
        <w:tc>
          <w:tcPr>
            <w:tcW w:w="5788" w:type="dxa"/>
          </w:tcPr>
          <w:p w14:paraId="39D0D1DA" w14:textId="669A02F0"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1B0F5F61" w14:textId="77777777" w:rsidR="004D40F9" w:rsidRPr="00436535" w:rsidRDefault="004D40F9" w:rsidP="004D40F9">
            <w:pPr>
              <w:pStyle w:val="ListParagraph"/>
              <w:ind w:left="0"/>
              <w:rPr>
                <w:rFonts w:cstheme="minorHAnsi"/>
                <w:sz w:val="20"/>
                <w:szCs w:val="20"/>
              </w:rPr>
            </w:pPr>
          </w:p>
        </w:tc>
      </w:tr>
      <w:tr w:rsidR="004D40F9" w:rsidRPr="006E751A" w14:paraId="2CB97E7A" w14:textId="77777777" w:rsidTr="00604541">
        <w:tc>
          <w:tcPr>
            <w:tcW w:w="977" w:type="dxa"/>
          </w:tcPr>
          <w:p w14:paraId="661DBB99" w14:textId="5A4E224E"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23</w:t>
            </w:r>
          </w:p>
        </w:tc>
        <w:tc>
          <w:tcPr>
            <w:tcW w:w="1903" w:type="dxa"/>
          </w:tcPr>
          <w:p w14:paraId="1DB2C928" w14:textId="5583328E"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A_K0ALC</w:t>
            </w:r>
          </w:p>
        </w:tc>
        <w:tc>
          <w:tcPr>
            <w:tcW w:w="5788" w:type="dxa"/>
          </w:tcPr>
          <w:p w14:paraId="6EDBBE92" w14:textId="25375192"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7F2AEC55" w14:textId="77777777" w:rsidR="004D40F9" w:rsidRPr="00436535" w:rsidRDefault="004D40F9" w:rsidP="004D40F9">
            <w:pPr>
              <w:pStyle w:val="ListParagraph"/>
              <w:ind w:left="0"/>
              <w:rPr>
                <w:rFonts w:cstheme="minorHAnsi"/>
                <w:sz w:val="20"/>
                <w:szCs w:val="20"/>
              </w:rPr>
            </w:pPr>
          </w:p>
        </w:tc>
      </w:tr>
      <w:tr w:rsidR="004D40F9" w:rsidRPr="006E751A" w14:paraId="0FA542B5" w14:textId="77777777" w:rsidTr="00604541">
        <w:tc>
          <w:tcPr>
            <w:tcW w:w="977" w:type="dxa"/>
          </w:tcPr>
          <w:p w14:paraId="5556F0FF" w14:textId="0286FD6E"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24</w:t>
            </w:r>
          </w:p>
        </w:tc>
        <w:tc>
          <w:tcPr>
            <w:tcW w:w="1903" w:type="dxa"/>
          </w:tcPr>
          <w:p w14:paraId="036853F6" w14:textId="1ACF297E" w:rsidR="004D40F9" w:rsidRDefault="004D40F9" w:rsidP="006E751A">
            <w:pPr>
              <w:tabs>
                <w:tab w:val="center" w:pos="6480"/>
              </w:tabs>
              <w:autoSpaceDE w:val="0"/>
              <w:autoSpaceDN w:val="0"/>
              <w:adjustRightInd w:val="0"/>
              <w:rPr>
                <w:rFonts w:cs="SAS Monospace"/>
                <w:sz w:val="20"/>
                <w:szCs w:val="20"/>
              </w:rPr>
            </w:pPr>
            <w:r>
              <w:rPr>
                <w:rFonts w:cs="SAS Monospace"/>
                <w:sz w:val="20"/>
                <w:szCs w:val="20"/>
              </w:rPr>
              <w:t>A_K0ALLALC</w:t>
            </w:r>
          </w:p>
        </w:tc>
        <w:tc>
          <w:tcPr>
            <w:tcW w:w="5788" w:type="dxa"/>
          </w:tcPr>
          <w:p w14:paraId="5469B85E" w14:textId="7061FE80" w:rsidR="004D40F9" w:rsidRDefault="004D40F9" w:rsidP="004D40F9">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76D2CA3B" w14:textId="77777777" w:rsidR="004D40F9" w:rsidRPr="00436535" w:rsidRDefault="004D40F9" w:rsidP="004D40F9">
            <w:pPr>
              <w:pStyle w:val="ListParagraph"/>
              <w:ind w:left="0"/>
              <w:rPr>
                <w:rFonts w:cstheme="minorHAnsi"/>
                <w:sz w:val="20"/>
                <w:szCs w:val="20"/>
              </w:rPr>
            </w:pPr>
          </w:p>
        </w:tc>
      </w:tr>
      <w:tr w:rsidR="004D40F9" w:rsidRPr="006E751A" w14:paraId="0336E72E" w14:textId="77777777" w:rsidTr="00604541">
        <w:tc>
          <w:tcPr>
            <w:tcW w:w="977" w:type="dxa"/>
          </w:tcPr>
          <w:p w14:paraId="7829298C" w14:textId="0FB51871"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25</w:t>
            </w:r>
          </w:p>
        </w:tc>
        <w:tc>
          <w:tcPr>
            <w:tcW w:w="1903" w:type="dxa"/>
          </w:tcPr>
          <w:p w14:paraId="5E2BC6A9" w14:textId="18778D5C" w:rsidR="004D40F9" w:rsidRDefault="004D40F9" w:rsidP="006E751A">
            <w:pPr>
              <w:tabs>
                <w:tab w:val="center" w:pos="6480"/>
              </w:tabs>
              <w:autoSpaceDE w:val="0"/>
              <w:autoSpaceDN w:val="0"/>
              <w:adjustRightInd w:val="0"/>
              <w:rPr>
                <w:rFonts w:cs="SAS Monospace"/>
                <w:sz w:val="20"/>
                <w:szCs w:val="20"/>
              </w:rPr>
            </w:pPr>
            <w:r>
              <w:rPr>
                <w:rFonts w:cstheme="minorHAnsi"/>
                <w:sz w:val="20"/>
                <w:szCs w:val="20"/>
              </w:rPr>
              <w:t>A_</w:t>
            </w:r>
            <w:r w:rsidRPr="00436535">
              <w:rPr>
                <w:rFonts w:cstheme="minorHAnsi"/>
                <w:sz w:val="20"/>
                <w:szCs w:val="20"/>
              </w:rPr>
              <w:t>K0FAV</w:t>
            </w:r>
          </w:p>
        </w:tc>
        <w:tc>
          <w:tcPr>
            <w:tcW w:w="5788" w:type="dxa"/>
          </w:tcPr>
          <w:p w14:paraId="50712353" w14:textId="54708B92" w:rsidR="004D40F9"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1F651081" w14:textId="77777777" w:rsidR="004D40F9" w:rsidRPr="00436535" w:rsidRDefault="004D40F9" w:rsidP="004D40F9">
            <w:pPr>
              <w:pStyle w:val="ListParagraph"/>
              <w:ind w:left="0"/>
              <w:rPr>
                <w:rFonts w:cstheme="minorHAnsi"/>
                <w:sz w:val="20"/>
                <w:szCs w:val="20"/>
              </w:rPr>
            </w:pPr>
          </w:p>
        </w:tc>
      </w:tr>
      <w:tr w:rsidR="004D40F9" w:rsidRPr="006E751A" w14:paraId="622E4F50" w14:textId="77777777" w:rsidTr="00604541">
        <w:tc>
          <w:tcPr>
            <w:tcW w:w="977" w:type="dxa"/>
          </w:tcPr>
          <w:p w14:paraId="23CD3377" w14:textId="3177525D"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26</w:t>
            </w:r>
          </w:p>
        </w:tc>
        <w:tc>
          <w:tcPr>
            <w:tcW w:w="1903" w:type="dxa"/>
          </w:tcPr>
          <w:p w14:paraId="123C1494" w14:textId="3D76B9F2" w:rsidR="004D40F9" w:rsidRPr="00436535" w:rsidRDefault="004D40F9" w:rsidP="006E751A">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K0UNFAV</w:t>
            </w:r>
          </w:p>
        </w:tc>
        <w:tc>
          <w:tcPr>
            <w:tcW w:w="5788" w:type="dxa"/>
          </w:tcPr>
          <w:p w14:paraId="25EE3C05" w14:textId="36E87876"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1/2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F8165E1" w14:textId="77777777" w:rsidR="004D40F9" w:rsidRPr="00436535" w:rsidRDefault="004D40F9" w:rsidP="004D40F9">
            <w:pPr>
              <w:pStyle w:val="ListParagraph"/>
              <w:ind w:left="0"/>
              <w:rPr>
                <w:rFonts w:cstheme="minorHAnsi"/>
                <w:sz w:val="20"/>
                <w:szCs w:val="20"/>
              </w:rPr>
            </w:pPr>
          </w:p>
        </w:tc>
      </w:tr>
      <w:tr w:rsidR="004D40F9" w:rsidRPr="006E751A" w14:paraId="00C607EE" w14:textId="77777777" w:rsidTr="00604541">
        <w:tc>
          <w:tcPr>
            <w:tcW w:w="977" w:type="dxa"/>
          </w:tcPr>
          <w:p w14:paraId="74741D21" w14:textId="499F83D0"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t>27</w:t>
            </w:r>
          </w:p>
        </w:tc>
        <w:tc>
          <w:tcPr>
            <w:tcW w:w="1903" w:type="dxa"/>
          </w:tcPr>
          <w:p w14:paraId="258E7FC3" w14:textId="0EC8433F" w:rsidR="004D40F9" w:rsidRPr="00436535" w:rsidRDefault="004D40F9" w:rsidP="006E751A">
            <w:pPr>
              <w:tabs>
                <w:tab w:val="center" w:pos="6480"/>
              </w:tabs>
              <w:autoSpaceDE w:val="0"/>
              <w:autoSpaceDN w:val="0"/>
              <w:adjustRightInd w:val="0"/>
              <w:rPr>
                <w:rFonts w:cstheme="minorHAnsi"/>
                <w:sz w:val="20"/>
                <w:szCs w:val="20"/>
              </w:rPr>
            </w:pPr>
            <w:r>
              <w:rPr>
                <w:rFonts w:cstheme="minorHAnsi"/>
                <w:sz w:val="20"/>
                <w:szCs w:val="20"/>
              </w:rPr>
              <w:t>A_K</w:t>
            </w:r>
            <w:r w:rsidRPr="00436535">
              <w:rPr>
                <w:rFonts w:cstheme="minorHAnsi"/>
                <w:sz w:val="20"/>
                <w:szCs w:val="20"/>
              </w:rPr>
              <w:t>0UNFAVFO</w:t>
            </w:r>
          </w:p>
        </w:tc>
        <w:tc>
          <w:tcPr>
            <w:tcW w:w="5788" w:type="dxa"/>
          </w:tcPr>
          <w:p w14:paraId="66C83095" w14:textId="42D28E52"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 xml:space="preserve">convenience stores, </w:t>
            </w:r>
            <w:r w:rsidRPr="00436535">
              <w:rPr>
                <w:rFonts w:cstheme="minorHAnsi"/>
                <w:sz w:val="20"/>
                <w:szCs w:val="20"/>
              </w:rPr>
              <w:lastRenderedPageBreak/>
              <w:t>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28FCAEAE" w14:textId="77777777" w:rsidR="004D40F9" w:rsidRPr="00436535" w:rsidRDefault="004D40F9" w:rsidP="004D40F9">
            <w:pPr>
              <w:pStyle w:val="ListParagraph"/>
              <w:ind w:left="0"/>
              <w:rPr>
                <w:rFonts w:cstheme="minorHAnsi"/>
                <w:sz w:val="20"/>
                <w:szCs w:val="20"/>
              </w:rPr>
            </w:pPr>
          </w:p>
        </w:tc>
      </w:tr>
      <w:tr w:rsidR="004D40F9" w:rsidRPr="006E751A" w14:paraId="1E5D292C" w14:textId="77777777" w:rsidTr="00604541">
        <w:tc>
          <w:tcPr>
            <w:tcW w:w="977" w:type="dxa"/>
          </w:tcPr>
          <w:p w14:paraId="2C7FD179" w14:textId="0790AE17" w:rsidR="004D40F9" w:rsidRDefault="004D40F9" w:rsidP="009F1147">
            <w:pPr>
              <w:tabs>
                <w:tab w:val="center" w:pos="6480"/>
              </w:tabs>
              <w:autoSpaceDE w:val="0"/>
              <w:autoSpaceDN w:val="0"/>
              <w:adjustRightInd w:val="0"/>
              <w:rPr>
                <w:rFonts w:cs="SAS Monospace"/>
                <w:sz w:val="20"/>
                <w:szCs w:val="20"/>
              </w:rPr>
            </w:pPr>
            <w:r>
              <w:rPr>
                <w:rFonts w:cs="SAS Monospace"/>
                <w:sz w:val="20"/>
                <w:szCs w:val="20"/>
              </w:rPr>
              <w:lastRenderedPageBreak/>
              <w:t>28</w:t>
            </w:r>
          </w:p>
        </w:tc>
        <w:tc>
          <w:tcPr>
            <w:tcW w:w="1903" w:type="dxa"/>
          </w:tcPr>
          <w:p w14:paraId="3E93DD8F" w14:textId="33C8828F" w:rsidR="004D40F9" w:rsidRDefault="004D40F9" w:rsidP="006E751A">
            <w:pPr>
              <w:tabs>
                <w:tab w:val="center" w:pos="6480"/>
              </w:tabs>
              <w:autoSpaceDE w:val="0"/>
              <w:autoSpaceDN w:val="0"/>
              <w:adjustRightInd w:val="0"/>
              <w:rPr>
                <w:rFonts w:cstheme="minorHAnsi"/>
                <w:sz w:val="20"/>
                <w:szCs w:val="20"/>
              </w:rPr>
            </w:pPr>
            <w:r>
              <w:rPr>
                <w:rFonts w:cstheme="minorHAnsi"/>
                <w:sz w:val="20"/>
                <w:szCs w:val="20"/>
              </w:rPr>
              <w:t>A_K0TOTFOOD</w:t>
            </w:r>
          </w:p>
        </w:tc>
        <w:tc>
          <w:tcPr>
            <w:tcW w:w="5788" w:type="dxa"/>
          </w:tcPr>
          <w:p w14:paraId="49A77F2E" w14:textId="0CFBCC01" w:rsidR="004D40F9" w:rsidRPr="00436535" w:rsidRDefault="004D40F9" w:rsidP="004D40F9">
            <w:pPr>
              <w:tabs>
                <w:tab w:val="center" w:pos="6480"/>
              </w:tabs>
              <w:autoSpaceDE w:val="0"/>
              <w:autoSpaceDN w:val="0"/>
              <w:adjustRightInd w:val="0"/>
              <w:rPr>
                <w:rFonts w:cstheme="minorHAnsi"/>
                <w:sz w:val="20"/>
                <w:szCs w:val="20"/>
              </w:rPr>
            </w:pPr>
            <w:r>
              <w:rPr>
                <w:rFonts w:cstheme="minorHAnsi"/>
                <w:sz w:val="20"/>
                <w:szCs w:val="20"/>
              </w:rPr>
              <w:t xml:space="preserve">Cumulative average of 1/2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39C6E572" w14:textId="77777777" w:rsidR="004D40F9" w:rsidRPr="00436535" w:rsidRDefault="004D40F9" w:rsidP="004D40F9">
            <w:pPr>
              <w:pStyle w:val="ListParagraph"/>
              <w:ind w:left="0"/>
              <w:rPr>
                <w:rFonts w:cstheme="minorHAnsi"/>
                <w:sz w:val="20"/>
                <w:szCs w:val="20"/>
              </w:rPr>
            </w:pPr>
          </w:p>
        </w:tc>
      </w:tr>
      <w:tr w:rsidR="000C78FB" w:rsidRPr="006E751A" w14:paraId="72EA1517" w14:textId="77777777" w:rsidTr="00604541">
        <w:tc>
          <w:tcPr>
            <w:tcW w:w="977" w:type="dxa"/>
          </w:tcPr>
          <w:p w14:paraId="5E328814" w14:textId="2E51C250"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29</w:t>
            </w:r>
          </w:p>
        </w:tc>
        <w:tc>
          <w:tcPr>
            <w:tcW w:w="1903" w:type="dxa"/>
          </w:tcPr>
          <w:p w14:paraId="539B4586" w14:textId="1922B996" w:rsidR="000C78FB" w:rsidRDefault="000C78FB" w:rsidP="000C78FB">
            <w:pPr>
              <w:tabs>
                <w:tab w:val="center" w:pos="6480"/>
              </w:tabs>
              <w:autoSpaceDE w:val="0"/>
              <w:autoSpaceDN w:val="0"/>
              <w:adjustRightInd w:val="0"/>
              <w:rPr>
                <w:rFonts w:cstheme="minorHAnsi"/>
                <w:sz w:val="20"/>
                <w:szCs w:val="20"/>
              </w:rPr>
            </w:pPr>
            <w:r>
              <w:rPr>
                <w:rFonts w:cs="SAS Monospace"/>
                <w:sz w:val="20"/>
                <w:szCs w:val="20"/>
              </w:rPr>
              <w:t>K1SCH</w:t>
            </w:r>
          </w:p>
        </w:tc>
        <w:tc>
          <w:tcPr>
            <w:tcW w:w="5788" w:type="dxa"/>
          </w:tcPr>
          <w:p w14:paraId="06C712DB" w14:textId="18D54F5C" w:rsidR="000C78FB"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1E2B01A0" w14:textId="77777777" w:rsidR="000C78FB" w:rsidRPr="00436535" w:rsidRDefault="000C78FB" w:rsidP="004D40F9">
            <w:pPr>
              <w:pStyle w:val="ListParagraph"/>
              <w:ind w:left="0"/>
              <w:rPr>
                <w:rFonts w:cstheme="minorHAnsi"/>
                <w:sz w:val="20"/>
                <w:szCs w:val="20"/>
              </w:rPr>
            </w:pPr>
          </w:p>
        </w:tc>
      </w:tr>
      <w:tr w:rsidR="000C78FB" w:rsidRPr="006E751A" w14:paraId="7AC876B6" w14:textId="77777777" w:rsidTr="00604541">
        <w:tc>
          <w:tcPr>
            <w:tcW w:w="977" w:type="dxa"/>
          </w:tcPr>
          <w:p w14:paraId="692DB3CB" w14:textId="582D3272"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30</w:t>
            </w:r>
          </w:p>
        </w:tc>
        <w:tc>
          <w:tcPr>
            <w:tcW w:w="1903" w:type="dxa"/>
          </w:tcPr>
          <w:p w14:paraId="19575701" w14:textId="4F29D506"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K1SMALL</w:t>
            </w:r>
          </w:p>
        </w:tc>
        <w:tc>
          <w:tcPr>
            <w:tcW w:w="5788" w:type="dxa"/>
          </w:tcPr>
          <w:p w14:paraId="46B17630" w14:textId="707179CB"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10FEB74" w14:textId="77777777" w:rsidR="000C78FB" w:rsidRPr="00436535" w:rsidRDefault="000C78FB" w:rsidP="004D40F9">
            <w:pPr>
              <w:pStyle w:val="ListParagraph"/>
              <w:ind w:left="0"/>
              <w:rPr>
                <w:rFonts w:cstheme="minorHAnsi"/>
                <w:sz w:val="20"/>
                <w:szCs w:val="20"/>
              </w:rPr>
            </w:pPr>
          </w:p>
        </w:tc>
      </w:tr>
      <w:tr w:rsidR="000C78FB" w:rsidRPr="006E751A" w14:paraId="0901CA7D" w14:textId="77777777" w:rsidTr="00604541">
        <w:tc>
          <w:tcPr>
            <w:tcW w:w="977" w:type="dxa"/>
          </w:tcPr>
          <w:p w14:paraId="56481ADF" w14:textId="73DCAD61"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31</w:t>
            </w:r>
          </w:p>
        </w:tc>
        <w:tc>
          <w:tcPr>
            <w:tcW w:w="1903" w:type="dxa"/>
          </w:tcPr>
          <w:p w14:paraId="273BCD42" w14:textId="7F0196C8"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K1FFC</w:t>
            </w:r>
          </w:p>
        </w:tc>
        <w:tc>
          <w:tcPr>
            <w:tcW w:w="5788" w:type="dxa"/>
          </w:tcPr>
          <w:p w14:paraId="3C3E1433" w14:textId="2A5153C1"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fast food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499BD59" w14:textId="77777777" w:rsidR="000C78FB" w:rsidRPr="00436535" w:rsidRDefault="000C78FB" w:rsidP="004D40F9">
            <w:pPr>
              <w:pStyle w:val="ListParagraph"/>
              <w:ind w:left="0"/>
              <w:rPr>
                <w:rFonts w:cstheme="minorHAnsi"/>
                <w:sz w:val="20"/>
                <w:szCs w:val="20"/>
              </w:rPr>
            </w:pPr>
          </w:p>
        </w:tc>
      </w:tr>
      <w:tr w:rsidR="000C78FB" w:rsidRPr="006E751A" w14:paraId="4B2D43E8" w14:textId="77777777" w:rsidTr="00604541">
        <w:tc>
          <w:tcPr>
            <w:tcW w:w="977" w:type="dxa"/>
          </w:tcPr>
          <w:p w14:paraId="59A1A523" w14:textId="6D41309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32</w:t>
            </w:r>
          </w:p>
        </w:tc>
        <w:tc>
          <w:tcPr>
            <w:tcW w:w="1903" w:type="dxa"/>
          </w:tcPr>
          <w:p w14:paraId="2949129F" w14:textId="0577B499"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K1FFALL</w:t>
            </w:r>
          </w:p>
        </w:tc>
        <w:tc>
          <w:tcPr>
            <w:tcW w:w="5788" w:type="dxa"/>
          </w:tcPr>
          <w:p w14:paraId="735C2E9B" w14:textId="370EEA66"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274F023" w14:textId="77777777" w:rsidR="000C78FB" w:rsidRPr="00436535" w:rsidRDefault="000C78FB" w:rsidP="004D40F9">
            <w:pPr>
              <w:pStyle w:val="ListParagraph"/>
              <w:ind w:left="0"/>
              <w:rPr>
                <w:rFonts w:cstheme="minorHAnsi"/>
                <w:sz w:val="20"/>
                <w:szCs w:val="20"/>
              </w:rPr>
            </w:pPr>
          </w:p>
        </w:tc>
      </w:tr>
      <w:tr w:rsidR="000C78FB" w:rsidRPr="006E751A" w14:paraId="15F7502E" w14:textId="77777777" w:rsidTr="00604541">
        <w:tc>
          <w:tcPr>
            <w:tcW w:w="977" w:type="dxa"/>
          </w:tcPr>
          <w:p w14:paraId="6F9B8E43" w14:textId="45A1E0E8"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33</w:t>
            </w:r>
          </w:p>
        </w:tc>
        <w:tc>
          <w:tcPr>
            <w:tcW w:w="1903" w:type="dxa"/>
          </w:tcPr>
          <w:p w14:paraId="3DAD8C89" w14:textId="5DF11E69"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K1LIQ</w:t>
            </w:r>
          </w:p>
        </w:tc>
        <w:tc>
          <w:tcPr>
            <w:tcW w:w="5788" w:type="dxa"/>
          </w:tcPr>
          <w:p w14:paraId="45F548B3" w14:textId="5DD25A0F"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DF2C833" w14:textId="77777777" w:rsidR="000C78FB" w:rsidRPr="00436535" w:rsidRDefault="000C78FB" w:rsidP="004D40F9">
            <w:pPr>
              <w:pStyle w:val="ListParagraph"/>
              <w:ind w:left="0"/>
              <w:rPr>
                <w:rFonts w:cstheme="minorHAnsi"/>
                <w:sz w:val="20"/>
                <w:szCs w:val="20"/>
              </w:rPr>
            </w:pPr>
          </w:p>
        </w:tc>
      </w:tr>
      <w:tr w:rsidR="000C78FB" w:rsidRPr="006E751A" w14:paraId="410F4FE1" w14:textId="77777777" w:rsidTr="00604541">
        <w:tc>
          <w:tcPr>
            <w:tcW w:w="977" w:type="dxa"/>
          </w:tcPr>
          <w:p w14:paraId="4B230DC1" w14:textId="20DC9636"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34</w:t>
            </w:r>
          </w:p>
        </w:tc>
        <w:tc>
          <w:tcPr>
            <w:tcW w:w="1903" w:type="dxa"/>
          </w:tcPr>
          <w:p w14:paraId="1AD37C8F" w14:textId="1B060001"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K1ALC</w:t>
            </w:r>
          </w:p>
        </w:tc>
        <w:tc>
          <w:tcPr>
            <w:tcW w:w="5788" w:type="dxa"/>
          </w:tcPr>
          <w:p w14:paraId="3E5E2C74" w14:textId="7DF1B132" w:rsidR="000C78FB" w:rsidRPr="00436535" w:rsidRDefault="000C78FB" w:rsidP="000C78FB">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DDC21F4" w14:textId="77777777" w:rsidR="000C78FB" w:rsidRPr="00436535" w:rsidRDefault="000C78FB" w:rsidP="004D40F9">
            <w:pPr>
              <w:pStyle w:val="ListParagraph"/>
              <w:ind w:left="0"/>
              <w:rPr>
                <w:rFonts w:cstheme="minorHAnsi"/>
                <w:sz w:val="20"/>
                <w:szCs w:val="20"/>
              </w:rPr>
            </w:pPr>
          </w:p>
        </w:tc>
      </w:tr>
      <w:tr w:rsidR="000C78FB" w:rsidRPr="006E751A" w14:paraId="3C4136F8" w14:textId="77777777" w:rsidTr="00604541">
        <w:tc>
          <w:tcPr>
            <w:tcW w:w="977" w:type="dxa"/>
          </w:tcPr>
          <w:p w14:paraId="2AC5485B" w14:textId="5C055A17"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35</w:t>
            </w:r>
          </w:p>
        </w:tc>
        <w:tc>
          <w:tcPr>
            <w:tcW w:w="1903" w:type="dxa"/>
          </w:tcPr>
          <w:p w14:paraId="6D759A2E" w14:textId="4A932D64"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K1ALLALC</w:t>
            </w:r>
          </w:p>
        </w:tc>
        <w:tc>
          <w:tcPr>
            <w:tcW w:w="5788" w:type="dxa"/>
          </w:tcPr>
          <w:p w14:paraId="53A8CFB8" w14:textId="60E33D76"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E35AD2C" w14:textId="77777777" w:rsidR="000C78FB" w:rsidRPr="00436535" w:rsidRDefault="000C78FB" w:rsidP="004D40F9">
            <w:pPr>
              <w:pStyle w:val="ListParagraph"/>
              <w:ind w:left="0"/>
              <w:rPr>
                <w:rFonts w:cstheme="minorHAnsi"/>
                <w:sz w:val="20"/>
                <w:szCs w:val="20"/>
              </w:rPr>
            </w:pPr>
          </w:p>
        </w:tc>
      </w:tr>
      <w:tr w:rsidR="000C78FB" w:rsidRPr="006E751A" w14:paraId="70D4FD6B" w14:textId="77777777" w:rsidTr="00604541">
        <w:tc>
          <w:tcPr>
            <w:tcW w:w="977" w:type="dxa"/>
          </w:tcPr>
          <w:p w14:paraId="426DFAB3" w14:textId="545DFDF8"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36</w:t>
            </w:r>
          </w:p>
        </w:tc>
        <w:tc>
          <w:tcPr>
            <w:tcW w:w="1903" w:type="dxa"/>
          </w:tcPr>
          <w:p w14:paraId="10377BB9" w14:textId="5FDBD45B" w:rsidR="000C78FB" w:rsidRDefault="000C78FB" w:rsidP="000C78FB">
            <w:pPr>
              <w:tabs>
                <w:tab w:val="center" w:pos="6480"/>
              </w:tabs>
              <w:autoSpaceDE w:val="0"/>
              <w:autoSpaceDN w:val="0"/>
              <w:adjustRightInd w:val="0"/>
              <w:rPr>
                <w:rFonts w:cs="SAS Monospace"/>
                <w:sz w:val="20"/>
                <w:szCs w:val="20"/>
              </w:rPr>
            </w:pPr>
            <w:r w:rsidRPr="00436535">
              <w:rPr>
                <w:rFonts w:cstheme="minorHAnsi"/>
                <w:sz w:val="20"/>
                <w:szCs w:val="20"/>
              </w:rPr>
              <w:t>K</w:t>
            </w:r>
            <w:r>
              <w:rPr>
                <w:rFonts w:cstheme="minorHAnsi"/>
                <w:sz w:val="20"/>
                <w:szCs w:val="20"/>
              </w:rPr>
              <w:t>1</w:t>
            </w:r>
            <w:r w:rsidRPr="00436535">
              <w:rPr>
                <w:rFonts w:cstheme="minorHAnsi"/>
                <w:sz w:val="20"/>
                <w:szCs w:val="20"/>
              </w:rPr>
              <w:t>FAV</w:t>
            </w:r>
          </w:p>
        </w:tc>
        <w:tc>
          <w:tcPr>
            <w:tcW w:w="5788" w:type="dxa"/>
          </w:tcPr>
          <w:p w14:paraId="3B9221C1" w14:textId="20EB9FD8" w:rsidR="000C78FB"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7025AFC5" w14:textId="77777777" w:rsidR="000C78FB" w:rsidRPr="00436535" w:rsidRDefault="000C78FB" w:rsidP="004D40F9">
            <w:pPr>
              <w:pStyle w:val="ListParagraph"/>
              <w:ind w:left="0"/>
              <w:rPr>
                <w:rFonts w:cstheme="minorHAnsi"/>
                <w:sz w:val="20"/>
                <w:szCs w:val="20"/>
              </w:rPr>
            </w:pPr>
          </w:p>
        </w:tc>
      </w:tr>
      <w:tr w:rsidR="000C78FB" w:rsidRPr="006E751A" w14:paraId="3A9C55FA" w14:textId="77777777" w:rsidTr="00604541">
        <w:tc>
          <w:tcPr>
            <w:tcW w:w="977" w:type="dxa"/>
          </w:tcPr>
          <w:p w14:paraId="6A5FFC77" w14:textId="34E4F63A"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37</w:t>
            </w:r>
          </w:p>
        </w:tc>
        <w:tc>
          <w:tcPr>
            <w:tcW w:w="1903" w:type="dxa"/>
          </w:tcPr>
          <w:p w14:paraId="7F655FA2" w14:textId="1CFFB0FB"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w:t>
            </w:r>
            <w:r w:rsidRPr="00436535">
              <w:rPr>
                <w:rFonts w:cstheme="minorHAnsi"/>
                <w:sz w:val="20"/>
                <w:szCs w:val="20"/>
              </w:rPr>
              <w:t>UNFAV</w:t>
            </w:r>
          </w:p>
        </w:tc>
        <w:tc>
          <w:tcPr>
            <w:tcW w:w="5788" w:type="dxa"/>
          </w:tcPr>
          <w:p w14:paraId="6F12B419" w14:textId="6815BA38"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1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B9412A7" w14:textId="77777777" w:rsidR="000C78FB" w:rsidRPr="00436535" w:rsidRDefault="000C78FB" w:rsidP="004D40F9">
            <w:pPr>
              <w:pStyle w:val="ListParagraph"/>
              <w:ind w:left="0"/>
              <w:rPr>
                <w:rFonts w:cstheme="minorHAnsi"/>
                <w:sz w:val="20"/>
                <w:szCs w:val="20"/>
              </w:rPr>
            </w:pPr>
          </w:p>
        </w:tc>
      </w:tr>
      <w:tr w:rsidR="000C78FB" w:rsidRPr="006E751A" w14:paraId="4ACA17A2" w14:textId="77777777" w:rsidTr="00604541">
        <w:tc>
          <w:tcPr>
            <w:tcW w:w="977" w:type="dxa"/>
          </w:tcPr>
          <w:p w14:paraId="760B7B93" w14:textId="4EC6CE76"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38</w:t>
            </w:r>
          </w:p>
        </w:tc>
        <w:tc>
          <w:tcPr>
            <w:tcW w:w="1903" w:type="dxa"/>
          </w:tcPr>
          <w:p w14:paraId="3190ABE4" w14:textId="18354A8D" w:rsidR="000C78FB" w:rsidRPr="00436535" w:rsidRDefault="000C78FB" w:rsidP="000C78FB">
            <w:pPr>
              <w:tabs>
                <w:tab w:val="center" w:pos="6480"/>
              </w:tabs>
              <w:autoSpaceDE w:val="0"/>
              <w:autoSpaceDN w:val="0"/>
              <w:adjustRightInd w:val="0"/>
              <w:rPr>
                <w:rFonts w:cstheme="minorHAnsi"/>
                <w:sz w:val="20"/>
                <w:szCs w:val="20"/>
              </w:rPr>
            </w:pPr>
            <w:r>
              <w:rPr>
                <w:rFonts w:cstheme="minorHAnsi"/>
                <w:sz w:val="20"/>
                <w:szCs w:val="20"/>
              </w:rPr>
              <w:t>K1</w:t>
            </w:r>
            <w:r w:rsidRPr="00436535">
              <w:rPr>
                <w:rFonts w:cstheme="minorHAnsi"/>
                <w:sz w:val="20"/>
                <w:szCs w:val="20"/>
              </w:rPr>
              <w:t>UNFAVFO</w:t>
            </w:r>
          </w:p>
        </w:tc>
        <w:tc>
          <w:tcPr>
            <w:tcW w:w="5788" w:type="dxa"/>
          </w:tcPr>
          <w:p w14:paraId="161F1C7A" w14:textId="2CA3DCC4"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42943535" w14:textId="77777777" w:rsidR="000C78FB" w:rsidRPr="00436535" w:rsidRDefault="000C78FB" w:rsidP="004D40F9">
            <w:pPr>
              <w:pStyle w:val="ListParagraph"/>
              <w:ind w:left="0"/>
              <w:rPr>
                <w:rFonts w:cstheme="minorHAnsi"/>
                <w:sz w:val="20"/>
                <w:szCs w:val="20"/>
              </w:rPr>
            </w:pPr>
          </w:p>
        </w:tc>
      </w:tr>
      <w:tr w:rsidR="000C78FB" w:rsidRPr="006E751A" w14:paraId="7199F4E8" w14:textId="77777777" w:rsidTr="00604541">
        <w:tc>
          <w:tcPr>
            <w:tcW w:w="977" w:type="dxa"/>
          </w:tcPr>
          <w:p w14:paraId="358ADC62" w14:textId="3BEB51F8"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39</w:t>
            </w:r>
          </w:p>
        </w:tc>
        <w:tc>
          <w:tcPr>
            <w:tcW w:w="1903" w:type="dxa"/>
          </w:tcPr>
          <w:p w14:paraId="2B357D9C" w14:textId="4F79D3FF"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K1TOTFOOD</w:t>
            </w:r>
          </w:p>
        </w:tc>
        <w:tc>
          <w:tcPr>
            <w:tcW w:w="5788" w:type="dxa"/>
          </w:tcPr>
          <w:p w14:paraId="3E2093A0" w14:textId="255928F1" w:rsidR="000C78FB" w:rsidRPr="00436535"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1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02CC45AF" w14:textId="77777777" w:rsidR="000C78FB" w:rsidRPr="00436535" w:rsidRDefault="000C78FB" w:rsidP="004D40F9">
            <w:pPr>
              <w:pStyle w:val="ListParagraph"/>
              <w:ind w:left="0"/>
              <w:rPr>
                <w:rFonts w:cstheme="minorHAnsi"/>
                <w:sz w:val="20"/>
                <w:szCs w:val="20"/>
              </w:rPr>
            </w:pPr>
          </w:p>
        </w:tc>
      </w:tr>
      <w:tr w:rsidR="000C78FB" w:rsidRPr="006E751A" w14:paraId="0E55598F" w14:textId="77777777" w:rsidTr="00604541">
        <w:tc>
          <w:tcPr>
            <w:tcW w:w="977" w:type="dxa"/>
          </w:tcPr>
          <w:p w14:paraId="364BAE88" w14:textId="4DB46D6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40</w:t>
            </w:r>
          </w:p>
        </w:tc>
        <w:tc>
          <w:tcPr>
            <w:tcW w:w="1903" w:type="dxa"/>
          </w:tcPr>
          <w:p w14:paraId="1073597F" w14:textId="0FC6B023" w:rsidR="000C78FB"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w:t>
            </w:r>
            <w:r w:rsidRPr="00436535">
              <w:rPr>
                <w:rFonts w:cstheme="minorHAnsi"/>
                <w:sz w:val="20"/>
                <w:szCs w:val="20"/>
              </w:rPr>
              <w:t>MRFEI_TOT</w:t>
            </w:r>
          </w:p>
        </w:tc>
        <w:tc>
          <w:tcPr>
            <w:tcW w:w="5788" w:type="dxa"/>
          </w:tcPr>
          <w:p w14:paraId="343D188E" w14:textId="3957038C" w:rsidR="000C78FB" w:rsidRDefault="000C78FB"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w:t>
            </w:r>
            <w:r>
              <w:rPr>
                <w:rFonts w:cstheme="minorHAnsi"/>
                <w:sz w:val="20"/>
                <w:szCs w:val="20"/>
              </w:rPr>
              <w:t>1</w:t>
            </w:r>
            <w:r w:rsidRPr="00436535">
              <w:rPr>
                <w:rFonts w:cstheme="minorHAnsi"/>
                <w:sz w:val="20"/>
                <w:szCs w:val="20"/>
              </w:rPr>
              <w:t xml:space="preserve"> mile kernel density.  This is calculated from K</w:t>
            </w:r>
            <w:r w:rsidR="000B635D">
              <w:rPr>
                <w:rFonts w:cstheme="minorHAnsi"/>
                <w:sz w:val="20"/>
                <w:szCs w:val="20"/>
              </w:rPr>
              <w:t>1</w:t>
            </w:r>
            <w:r w:rsidRPr="00436535">
              <w:rPr>
                <w:rFonts w:cstheme="minorHAnsi"/>
                <w:sz w:val="20"/>
                <w:szCs w:val="20"/>
              </w:rPr>
              <w:t>FAV/(K</w:t>
            </w:r>
            <w:r w:rsidR="000B635D">
              <w:rPr>
                <w:rFonts w:cstheme="minorHAnsi"/>
                <w:sz w:val="20"/>
                <w:szCs w:val="20"/>
              </w:rPr>
              <w:t>1</w:t>
            </w:r>
            <w:r w:rsidRPr="00436535">
              <w:rPr>
                <w:rFonts w:cstheme="minorHAnsi"/>
                <w:sz w:val="20"/>
                <w:szCs w:val="20"/>
              </w:rPr>
              <w:t>FAV+K</w:t>
            </w:r>
            <w:r w:rsidR="000B635D">
              <w:rPr>
                <w:rFonts w:cstheme="minorHAnsi"/>
                <w:sz w:val="20"/>
                <w:szCs w:val="20"/>
              </w:rPr>
              <w:t>1</w:t>
            </w:r>
            <w:r w:rsidRPr="00436535">
              <w:rPr>
                <w:rFonts w:cstheme="minorHAnsi"/>
                <w:sz w:val="20"/>
                <w:szCs w:val="20"/>
              </w:rPr>
              <w:t>UNFAV).</w:t>
            </w:r>
          </w:p>
        </w:tc>
        <w:tc>
          <w:tcPr>
            <w:tcW w:w="1952" w:type="dxa"/>
          </w:tcPr>
          <w:p w14:paraId="26E3DB00" w14:textId="1774A7D3" w:rsidR="000C78FB" w:rsidRPr="00436535" w:rsidRDefault="000C78FB"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0C78FB" w:rsidRPr="006E751A" w14:paraId="0DAB7BAB" w14:textId="77777777" w:rsidTr="00604541">
        <w:tc>
          <w:tcPr>
            <w:tcW w:w="977" w:type="dxa"/>
          </w:tcPr>
          <w:p w14:paraId="4D7CFCD4" w14:textId="1DD63894"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41</w:t>
            </w:r>
          </w:p>
        </w:tc>
        <w:tc>
          <w:tcPr>
            <w:tcW w:w="1903" w:type="dxa"/>
          </w:tcPr>
          <w:p w14:paraId="4EFC1FB1" w14:textId="545FE1AA" w:rsidR="000C78FB" w:rsidRPr="00436535" w:rsidRDefault="000C78FB" w:rsidP="000C78FB">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w:t>
            </w:r>
            <w:r w:rsidRPr="00436535">
              <w:rPr>
                <w:rFonts w:cstheme="minorHAnsi"/>
                <w:sz w:val="20"/>
                <w:szCs w:val="20"/>
              </w:rPr>
              <w:t>MRFEI_NOALC</w:t>
            </w:r>
          </w:p>
        </w:tc>
        <w:tc>
          <w:tcPr>
            <w:tcW w:w="5788" w:type="dxa"/>
          </w:tcPr>
          <w:p w14:paraId="39589880" w14:textId="6E9F9395" w:rsidR="000C78FB" w:rsidRPr="00436535" w:rsidRDefault="000C78FB"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w:t>
            </w:r>
            <w:r>
              <w:rPr>
                <w:rFonts w:cstheme="minorHAnsi"/>
                <w:sz w:val="20"/>
                <w:szCs w:val="20"/>
              </w:rPr>
              <w:t>1</w:t>
            </w:r>
            <w:r w:rsidRPr="00436535">
              <w:rPr>
                <w:rFonts w:cstheme="minorHAnsi"/>
                <w:sz w:val="20"/>
                <w:szCs w:val="20"/>
              </w:rPr>
              <w:t xml:space="preserve"> mile kernel density.  This is calculated from K</w:t>
            </w:r>
            <w:r w:rsidR="000B635D">
              <w:rPr>
                <w:rFonts w:cstheme="minorHAnsi"/>
                <w:sz w:val="20"/>
                <w:szCs w:val="20"/>
              </w:rPr>
              <w:t>1</w:t>
            </w:r>
            <w:r w:rsidRPr="00436535">
              <w:rPr>
                <w:rFonts w:cstheme="minorHAnsi"/>
                <w:sz w:val="20"/>
                <w:szCs w:val="20"/>
              </w:rPr>
              <w:t>FAV/(K</w:t>
            </w:r>
            <w:r w:rsidR="000B635D">
              <w:rPr>
                <w:rFonts w:cstheme="minorHAnsi"/>
                <w:sz w:val="20"/>
                <w:szCs w:val="20"/>
              </w:rPr>
              <w:t>1</w:t>
            </w:r>
            <w:r w:rsidRPr="00436535">
              <w:rPr>
                <w:rFonts w:cstheme="minorHAnsi"/>
                <w:sz w:val="20"/>
                <w:szCs w:val="20"/>
              </w:rPr>
              <w:t>FAV+K</w:t>
            </w:r>
            <w:r w:rsidR="000B635D">
              <w:rPr>
                <w:rFonts w:cstheme="minorHAnsi"/>
                <w:sz w:val="20"/>
                <w:szCs w:val="20"/>
              </w:rPr>
              <w:t>1</w:t>
            </w:r>
            <w:r w:rsidRPr="00436535">
              <w:rPr>
                <w:rFonts w:cstheme="minorHAnsi"/>
                <w:sz w:val="20"/>
                <w:szCs w:val="20"/>
              </w:rPr>
              <w:t>UNFAVFO).</w:t>
            </w:r>
          </w:p>
        </w:tc>
        <w:tc>
          <w:tcPr>
            <w:tcW w:w="1952" w:type="dxa"/>
          </w:tcPr>
          <w:p w14:paraId="16DF401E" w14:textId="7639A0D3" w:rsidR="000C78FB" w:rsidRPr="00436535" w:rsidRDefault="000C78FB"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0C78FB" w:rsidRPr="006E751A" w14:paraId="0A4EA251" w14:textId="77777777" w:rsidTr="00604541">
        <w:tc>
          <w:tcPr>
            <w:tcW w:w="977" w:type="dxa"/>
          </w:tcPr>
          <w:p w14:paraId="17553881" w14:textId="3E453AAA"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42</w:t>
            </w:r>
          </w:p>
        </w:tc>
        <w:tc>
          <w:tcPr>
            <w:tcW w:w="1903" w:type="dxa"/>
          </w:tcPr>
          <w:p w14:paraId="3B6570F9" w14:textId="7D612460" w:rsidR="000C78FB" w:rsidRPr="00436535" w:rsidRDefault="000C78FB" w:rsidP="000C78FB">
            <w:pPr>
              <w:tabs>
                <w:tab w:val="center" w:pos="6480"/>
              </w:tabs>
              <w:autoSpaceDE w:val="0"/>
              <w:autoSpaceDN w:val="0"/>
              <w:adjustRightInd w:val="0"/>
              <w:rPr>
                <w:rFonts w:cstheme="minorHAnsi"/>
                <w:sz w:val="20"/>
                <w:szCs w:val="20"/>
              </w:rPr>
            </w:pPr>
            <w:r>
              <w:rPr>
                <w:rFonts w:cs="SAS Monospace"/>
                <w:sz w:val="20"/>
                <w:szCs w:val="20"/>
              </w:rPr>
              <w:t>A_K1SCH</w:t>
            </w:r>
          </w:p>
        </w:tc>
        <w:tc>
          <w:tcPr>
            <w:tcW w:w="5788" w:type="dxa"/>
          </w:tcPr>
          <w:p w14:paraId="3DABDE91" w14:textId="6D6CD75B" w:rsidR="000C78FB" w:rsidRPr="00436535"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5863FEA" w14:textId="77777777" w:rsidR="000C78FB" w:rsidRPr="00436535" w:rsidRDefault="000C78FB" w:rsidP="004D40F9">
            <w:pPr>
              <w:pStyle w:val="ListParagraph"/>
              <w:ind w:left="0"/>
              <w:rPr>
                <w:rFonts w:cstheme="minorHAnsi"/>
                <w:sz w:val="20"/>
                <w:szCs w:val="20"/>
              </w:rPr>
            </w:pPr>
          </w:p>
        </w:tc>
      </w:tr>
      <w:tr w:rsidR="000C78FB" w:rsidRPr="006E751A" w14:paraId="15384EE0" w14:textId="77777777" w:rsidTr="00604541">
        <w:tc>
          <w:tcPr>
            <w:tcW w:w="977" w:type="dxa"/>
          </w:tcPr>
          <w:p w14:paraId="73E4C95B" w14:textId="00E86EBE"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43</w:t>
            </w:r>
          </w:p>
        </w:tc>
        <w:tc>
          <w:tcPr>
            <w:tcW w:w="1903" w:type="dxa"/>
          </w:tcPr>
          <w:p w14:paraId="2B0D9F6C" w14:textId="12BD6D1D"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A_K1SMALL</w:t>
            </w:r>
          </w:p>
        </w:tc>
        <w:tc>
          <w:tcPr>
            <w:tcW w:w="5788" w:type="dxa"/>
          </w:tcPr>
          <w:p w14:paraId="44A9B359" w14:textId="038EB8DF"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D523141" w14:textId="77777777" w:rsidR="000C78FB" w:rsidRPr="00436535" w:rsidRDefault="000C78FB" w:rsidP="004D40F9">
            <w:pPr>
              <w:pStyle w:val="ListParagraph"/>
              <w:ind w:left="0"/>
              <w:rPr>
                <w:rFonts w:cstheme="minorHAnsi"/>
                <w:sz w:val="20"/>
                <w:szCs w:val="20"/>
              </w:rPr>
            </w:pPr>
          </w:p>
        </w:tc>
      </w:tr>
      <w:tr w:rsidR="000C78FB" w:rsidRPr="006E751A" w14:paraId="3514B2F5" w14:textId="77777777" w:rsidTr="00604541">
        <w:tc>
          <w:tcPr>
            <w:tcW w:w="977" w:type="dxa"/>
          </w:tcPr>
          <w:p w14:paraId="6B154B9A" w14:textId="6FED207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44</w:t>
            </w:r>
          </w:p>
        </w:tc>
        <w:tc>
          <w:tcPr>
            <w:tcW w:w="1903" w:type="dxa"/>
          </w:tcPr>
          <w:p w14:paraId="2B023866" w14:textId="080FBD24"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A_K1FFC</w:t>
            </w:r>
          </w:p>
        </w:tc>
        <w:tc>
          <w:tcPr>
            <w:tcW w:w="5788" w:type="dxa"/>
          </w:tcPr>
          <w:p w14:paraId="0F3A78A6" w14:textId="1556EB67"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fast food chains.  The </w:t>
            </w:r>
            <w:r w:rsidRPr="00436535">
              <w:rPr>
                <w:rFonts w:cstheme="minorHAnsi"/>
                <w:sz w:val="20"/>
                <w:szCs w:val="20"/>
              </w:rPr>
              <w:lastRenderedPageBreak/>
              <w:t xml:space="preserve">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513338BE" w14:textId="77777777" w:rsidR="000C78FB" w:rsidRPr="00436535" w:rsidRDefault="000C78FB" w:rsidP="004D40F9">
            <w:pPr>
              <w:pStyle w:val="ListParagraph"/>
              <w:ind w:left="0"/>
              <w:rPr>
                <w:rFonts w:cstheme="minorHAnsi"/>
                <w:sz w:val="20"/>
                <w:szCs w:val="20"/>
              </w:rPr>
            </w:pPr>
          </w:p>
        </w:tc>
      </w:tr>
      <w:tr w:rsidR="000C78FB" w:rsidRPr="006E751A" w14:paraId="79D05EA5" w14:textId="77777777" w:rsidTr="00604541">
        <w:tc>
          <w:tcPr>
            <w:tcW w:w="977" w:type="dxa"/>
          </w:tcPr>
          <w:p w14:paraId="79A0E68E" w14:textId="7703BDA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lastRenderedPageBreak/>
              <w:t>45</w:t>
            </w:r>
          </w:p>
        </w:tc>
        <w:tc>
          <w:tcPr>
            <w:tcW w:w="1903" w:type="dxa"/>
          </w:tcPr>
          <w:p w14:paraId="2CB9DDF5" w14:textId="5ED7CC1E"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A_K1FFALL</w:t>
            </w:r>
          </w:p>
        </w:tc>
        <w:tc>
          <w:tcPr>
            <w:tcW w:w="5788" w:type="dxa"/>
          </w:tcPr>
          <w:p w14:paraId="7184C9F5" w14:textId="42917E39"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E44A090" w14:textId="77777777" w:rsidR="000C78FB" w:rsidRPr="00436535" w:rsidRDefault="000C78FB" w:rsidP="004D40F9">
            <w:pPr>
              <w:pStyle w:val="ListParagraph"/>
              <w:ind w:left="0"/>
              <w:rPr>
                <w:rFonts w:cstheme="minorHAnsi"/>
                <w:sz w:val="20"/>
                <w:szCs w:val="20"/>
              </w:rPr>
            </w:pPr>
          </w:p>
        </w:tc>
      </w:tr>
      <w:tr w:rsidR="000C78FB" w:rsidRPr="006E751A" w14:paraId="270CE906" w14:textId="77777777" w:rsidTr="00604541">
        <w:tc>
          <w:tcPr>
            <w:tcW w:w="977" w:type="dxa"/>
          </w:tcPr>
          <w:p w14:paraId="53EF4755" w14:textId="659003CA"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46</w:t>
            </w:r>
          </w:p>
        </w:tc>
        <w:tc>
          <w:tcPr>
            <w:tcW w:w="1903" w:type="dxa"/>
          </w:tcPr>
          <w:p w14:paraId="1D9057AE" w14:textId="17BE8407"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A_K1LIQ</w:t>
            </w:r>
          </w:p>
        </w:tc>
        <w:tc>
          <w:tcPr>
            <w:tcW w:w="5788" w:type="dxa"/>
          </w:tcPr>
          <w:p w14:paraId="458072D8" w14:textId="62A42633"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BC2B0FE" w14:textId="77777777" w:rsidR="000C78FB" w:rsidRPr="00436535" w:rsidRDefault="000C78FB" w:rsidP="004D40F9">
            <w:pPr>
              <w:pStyle w:val="ListParagraph"/>
              <w:ind w:left="0"/>
              <w:rPr>
                <w:rFonts w:cstheme="minorHAnsi"/>
                <w:sz w:val="20"/>
                <w:szCs w:val="20"/>
              </w:rPr>
            </w:pPr>
          </w:p>
        </w:tc>
      </w:tr>
      <w:tr w:rsidR="000C78FB" w:rsidRPr="006E751A" w14:paraId="7793D8B9" w14:textId="77777777" w:rsidTr="00604541">
        <w:tc>
          <w:tcPr>
            <w:tcW w:w="977" w:type="dxa"/>
          </w:tcPr>
          <w:p w14:paraId="150FF975" w14:textId="60EE3EE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47</w:t>
            </w:r>
          </w:p>
        </w:tc>
        <w:tc>
          <w:tcPr>
            <w:tcW w:w="1903" w:type="dxa"/>
          </w:tcPr>
          <w:p w14:paraId="20E1B6FA" w14:textId="02DBADF4"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A_K1ALC</w:t>
            </w:r>
          </w:p>
        </w:tc>
        <w:tc>
          <w:tcPr>
            <w:tcW w:w="5788" w:type="dxa"/>
          </w:tcPr>
          <w:p w14:paraId="0E355483" w14:textId="4E5A5608"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EF7E834" w14:textId="77777777" w:rsidR="000C78FB" w:rsidRPr="00436535" w:rsidRDefault="000C78FB" w:rsidP="004D40F9">
            <w:pPr>
              <w:pStyle w:val="ListParagraph"/>
              <w:ind w:left="0"/>
              <w:rPr>
                <w:rFonts w:cstheme="minorHAnsi"/>
                <w:sz w:val="20"/>
                <w:szCs w:val="20"/>
              </w:rPr>
            </w:pPr>
          </w:p>
        </w:tc>
      </w:tr>
      <w:tr w:rsidR="000C78FB" w:rsidRPr="006E751A" w14:paraId="6E82B885" w14:textId="77777777" w:rsidTr="00604541">
        <w:tc>
          <w:tcPr>
            <w:tcW w:w="977" w:type="dxa"/>
          </w:tcPr>
          <w:p w14:paraId="3E6AC512" w14:textId="2EF06B61"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48</w:t>
            </w:r>
          </w:p>
        </w:tc>
        <w:tc>
          <w:tcPr>
            <w:tcW w:w="1903" w:type="dxa"/>
          </w:tcPr>
          <w:p w14:paraId="21171E21" w14:textId="40AD1FF7" w:rsidR="000C78FB" w:rsidRDefault="000C78FB" w:rsidP="000C78FB">
            <w:pPr>
              <w:tabs>
                <w:tab w:val="center" w:pos="6480"/>
              </w:tabs>
              <w:autoSpaceDE w:val="0"/>
              <w:autoSpaceDN w:val="0"/>
              <w:adjustRightInd w:val="0"/>
              <w:rPr>
                <w:rFonts w:cs="SAS Monospace"/>
                <w:sz w:val="20"/>
                <w:szCs w:val="20"/>
              </w:rPr>
            </w:pPr>
            <w:r>
              <w:rPr>
                <w:rFonts w:cs="SAS Monospace"/>
                <w:sz w:val="20"/>
                <w:szCs w:val="20"/>
              </w:rPr>
              <w:t>A_K1ALLALC</w:t>
            </w:r>
          </w:p>
        </w:tc>
        <w:tc>
          <w:tcPr>
            <w:tcW w:w="5788" w:type="dxa"/>
          </w:tcPr>
          <w:p w14:paraId="0EEBA29F" w14:textId="7AA35322"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0CA5DF2" w14:textId="77777777" w:rsidR="000C78FB" w:rsidRPr="00436535" w:rsidRDefault="000C78FB" w:rsidP="004D40F9">
            <w:pPr>
              <w:pStyle w:val="ListParagraph"/>
              <w:ind w:left="0"/>
              <w:rPr>
                <w:rFonts w:cstheme="minorHAnsi"/>
                <w:sz w:val="20"/>
                <w:szCs w:val="20"/>
              </w:rPr>
            </w:pPr>
          </w:p>
        </w:tc>
      </w:tr>
      <w:tr w:rsidR="000C78FB" w:rsidRPr="006E751A" w14:paraId="0F45B579" w14:textId="77777777" w:rsidTr="00604541">
        <w:tc>
          <w:tcPr>
            <w:tcW w:w="977" w:type="dxa"/>
          </w:tcPr>
          <w:p w14:paraId="50AABA2D" w14:textId="58542FF2"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49</w:t>
            </w:r>
          </w:p>
        </w:tc>
        <w:tc>
          <w:tcPr>
            <w:tcW w:w="1903" w:type="dxa"/>
          </w:tcPr>
          <w:p w14:paraId="40B520E5" w14:textId="4CB014A8" w:rsidR="000C78FB" w:rsidRDefault="000C78FB" w:rsidP="000C78FB">
            <w:pPr>
              <w:tabs>
                <w:tab w:val="center" w:pos="6480"/>
              </w:tabs>
              <w:autoSpaceDE w:val="0"/>
              <w:autoSpaceDN w:val="0"/>
              <w:adjustRightInd w:val="0"/>
              <w:rPr>
                <w:rFonts w:cs="SAS Monospace"/>
                <w:sz w:val="20"/>
                <w:szCs w:val="20"/>
              </w:rPr>
            </w:pPr>
            <w:r>
              <w:rPr>
                <w:rFonts w:cstheme="minorHAnsi"/>
                <w:sz w:val="20"/>
                <w:szCs w:val="20"/>
              </w:rPr>
              <w:t>A_</w:t>
            </w:r>
            <w:r w:rsidRPr="00436535">
              <w:rPr>
                <w:rFonts w:cstheme="minorHAnsi"/>
                <w:sz w:val="20"/>
                <w:szCs w:val="20"/>
              </w:rPr>
              <w:t>K</w:t>
            </w:r>
            <w:r>
              <w:rPr>
                <w:rFonts w:cstheme="minorHAnsi"/>
                <w:sz w:val="20"/>
                <w:szCs w:val="20"/>
              </w:rPr>
              <w:t>1</w:t>
            </w:r>
            <w:r w:rsidRPr="00436535">
              <w:rPr>
                <w:rFonts w:cstheme="minorHAnsi"/>
                <w:sz w:val="20"/>
                <w:szCs w:val="20"/>
              </w:rPr>
              <w:t>FAV</w:t>
            </w:r>
          </w:p>
        </w:tc>
        <w:tc>
          <w:tcPr>
            <w:tcW w:w="5788" w:type="dxa"/>
          </w:tcPr>
          <w:p w14:paraId="7FBBD524" w14:textId="66B94492"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63ECD21E" w14:textId="77777777" w:rsidR="000C78FB" w:rsidRPr="00436535" w:rsidRDefault="000C78FB" w:rsidP="004D40F9">
            <w:pPr>
              <w:pStyle w:val="ListParagraph"/>
              <w:ind w:left="0"/>
              <w:rPr>
                <w:rFonts w:cstheme="minorHAnsi"/>
                <w:sz w:val="20"/>
                <w:szCs w:val="20"/>
              </w:rPr>
            </w:pPr>
          </w:p>
        </w:tc>
      </w:tr>
      <w:tr w:rsidR="000C78FB" w:rsidRPr="006E751A" w14:paraId="6F3851F4" w14:textId="77777777" w:rsidTr="00604541">
        <w:tc>
          <w:tcPr>
            <w:tcW w:w="977" w:type="dxa"/>
          </w:tcPr>
          <w:p w14:paraId="3226AC77" w14:textId="30C02A3C"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50</w:t>
            </w:r>
          </w:p>
        </w:tc>
        <w:tc>
          <w:tcPr>
            <w:tcW w:w="1903" w:type="dxa"/>
          </w:tcPr>
          <w:p w14:paraId="10B3309E" w14:textId="1A155E48"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w:t>
            </w:r>
            <w:r w:rsidRPr="00436535">
              <w:rPr>
                <w:rFonts w:cstheme="minorHAnsi"/>
                <w:sz w:val="20"/>
                <w:szCs w:val="20"/>
              </w:rPr>
              <w:t>UNFAV</w:t>
            </w:r>
          </w:p>
        </w:tc>
        <w:tc>
          <w:tcPr>
            <w:tcW w:w="5788" w:type="dxa"/>
          </w:tcPr>
          <w:p w14:paraId="455CD9A4" w14:textId="6C889397"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1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161643EB" w14:textId="77777777" w:rsidR="000C78FB" w:rsidRPr="00436535" w:rsidRDefault="000C78FB" w:rsidP="004D40F9">
            <w:pPr>
              <w:pStyle w:val="ListParagraph"/>
              <w:ind w:left="0"/>
              <w:rPr>
                <w:rFonts w:cstheme="minorHAnsi"/>
                <w:sz w:val="20"/>
                <w:szCs w:val="20"/>
              </w:rPr>
            </w:pPr>
          </w:p>
        </w:tc>
      </w:tr>
      <w:tr w:rsidR="000C78FB" w:rsidRPr="006E751A" w14:paraId="2DDFD890" w14:textId="77777777" w:rsidTr="00604541">
        <w:tc>
          <w:tcPr>
            <w:tcW w:w="977" w:type="dxa"/>
          </w:tcPr>
          <w:p w14:paraId="74860495" w14:textId="57211909"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51</w:t>
            </w:r>
          </w:p>
        </w:tc>
        <w:tc>
          <w:tcPr>
            <w:tcW w:w="1903" w:type="dxa"/>
          </w:tcPr>
          <w:p w14:paraId="546ABAC5" w14:textId="40CE9D30"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A_K1</w:t>
            </w:r>
            <w:r w:rsidRPr="00436535">
              <w:rPr>
                <w:rFonts w:cstheme="minorHAnsi"/>
                <w:sz w:val="20"/>
                <w:szCs w:val="20"/>
              </w:rPr>
              <w:t>UNFAVFO</w:t>
            </w:r>
          </w:p>
        </w:tc>
        <w:tc>
          <w:tcPr>
            <w:tcW w:w="5788" w:type="dxa"/>
          </w:tcPr>
          <w:p w14:paraId="1D8BEDF6" w14:textId="4E93000A"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1C34BA68" w14:textId="77777777" w:rsidR="000C78FB" w:rsidRPr="00436535" w:rsidRDefault="000C78FB" w:rsidP="004D40F9">
            <w:pPr>
              <w:pStyle w:val="ListParagraph"/>
              <w:ind w:left="0"/>
              <w:rPr>
                <w:rFonts w:cstheme="minorHAnsi"/>
                <w:sz w:val="20"/>
                <w:szCs w:val="20"/>
              </w:rPr>
            </w:pPr>
          </w:p>
        </w:tc>
      </w:tr>
      <w:tr w:rsidR="000C78FB" w:rsidRPr="006E751A" w14:paraId="63812030" w14:textId="77777777" w:rsidTr="00604541">
        <w:tc>
          <w:tcPr>
            <w:tcW w:w="977" w:type="dxa"/>
          </w:tcPr>
          <w:p w14:paraId="344EDC95" w14:textId="2BCA54EC" w:rsidR="000C78FB" w:rsidRDefault="000C78FB" w:rsidP="009F1147">
            <w:pPr>
              <w:tabs>
                <w:tab w:val="center" w:pos="6480"/>
              </w:tabs>
              <w:autoSpaceDE w:val="0"/>
              <w:autoSpaceDN w:val="0"/>
              <w:adjustRightInd w:val="0"/>
              <w:rPr>
                <w:rFonts w:cs="SAS Monospace"/>
                <w:sz w:val="20"/>
                <w:szCs w:val="20"/>
              </w:rPr>
            </w:pPr>
            <w:r>
              <w:rPr>
                <w:rFonts w:cs="SAS Monospace"/>
                <w:sz w:val="20"/>
                <w:szCs w:val="20"/>
              </w:rPr>
              <w:t>52</w:t>
            </w:r>
          </w:p>
        </w:tc>
        <w:tc>
          <w:tcPr>
            <w:tcW w:w="1903" w:type="dxa"/>
          </w:tcPr>
          <w:p w14:paraId="5070FD6B" w14:textId="51711AA5"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A_K1TOTFOOD</w:t>
            </w:r>
          </w:p>
        </w:tc>
        <w:tc>
          <w:tcPr>
            <w:tcW w:w="5788" w:type="dxa"/>
          </w:tcPr>
          <w:p w14:paraId="19B6E20B" w14:textId="787566F5" w:rsidR="000C78FB" w:rsidRDefault="000C78FB" w:rsidP="000C78FB">
            <w:pPr>
              <w:tabs>
                <w:tab w:val="center" w:pos="6480"/>
              </w:tabs>
              <w:autoSpaceDE w:val="0"/>
              <w:autoSpaceDN w:val="0"/>
              <w:adjustRightInd w:val="0"/>
              <w:rPr>
                <w:rFonts w:cstheme="minorHAnsi"/>
                <w:sz w:val="20"/>
                <w:szCs w:val="20"/>
              </w:rPr>
            </w:pPr>
            <w:r>
              <w:rPr>
                <w:rFonts w:cstheme="minorHAnsi"/>
                <w:sz w:val="20"/>
                <w:szCs w:val="20"/>
              </w:rPr>
              <w:t xml:space="preserve">Cumulative average of 1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180A7041" w14:textId="77777777" w:rsidR="000C78FB" w:rsidRPr="00436535" w:rsidRDefault="000C78FB" w:rsidP="004D40F9">
            <w:pPr>
              <w:pStyle w:val="ListParagraph"/>
              <w:ind w:left="0"/>
              <w:rPr>
                <w:rFonts w:cstheme="minorHAnsi"/>
                <w:sz w:val="20"/>
                <w:szCs w:val="20"/>
              </w:rPr>
            </w:pPr>
          </w:p>
        </w:tc>
      </w:tr>
      <w:tr w:rsidR="00D900D9" w:rsidRPr="006E751A" w14:paraId="0BEE8662" w14:textId="77777777" w:rsidTr="00604541">
        <w:tc>
          <w:tcPr>
            <w:tcW w:w="977" w:type="dxa"/>
          </w:tcPr>
          <w:p w14:paraId="5A024E9A" w14:textId="48F39558"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53</w:t>
            </w:r>
          </w:p>
        </w:tc>
        <w:tc>
          <w:tcPr>
            <w:tcW w:w="1903" w:type="dxa"/>
          </w:tcPr>
          <w:p w14:paraId="258E5578" w14:textId="17100632" w:rsidR="00D900D9" w:rsidRDefault="00D900D9" w:rsidP="00D900D9">
            <w:pPr>
              <w:tabs>
                <w:tab w:val="center" w:pos="6480"/>
              </w:tabs>
              <w:autoSpaceDE w:val="0"/>
              <w:autoSpaceDN w:val="0"/>
              <w:adjustRightInd w:val="0"/>
              <w:rPr>
                <w:rFonts w:cstheme="minorHAnsi"/>
                <w:sz w:val="20"/>
                <w:szCs w:val="20"/>
              </w:rPr>
            </w:pPr>
            <w:r>
              <w:rPr>
                <w:rFonts w:cs="SAS Monospace"/>
                <w:sz w:val="20"/>
                <w:szCs w:val="20"/>
              </w:rPr>
              <w:t>K3SCH</w:t>
            </w:r>
          </w:p>
        </w:tc>
        <w:tc>
          <w:tcPr>
            <w:tcW w:w="5788" w:type="dxa"/>
          </w:tcPr>
          <w:p w14:paraId="6071A92B" w14:textId="5B1184C2" w:rsidR="00D900D9"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373C8E4" w14:textId="77777777" w:rsidR="00D900D9" w:rsidRPr="00436535" w:rsidRDefault="00D900D9" w:rsidP="004D40F9">
            <w:pPr>
              <w:pStyle w:val="ListParagraph"/>
              <w:ind w:left="0"/>
              <w:rPr>
                <w:rFonts w:cstheme="minorHAnsi"/>
                <w:sz w:val="20"/>
                <w:szCs w:val="20"/>
              </w:rPr>
            </w:pPr>
          </w:p>
        </w:tc>
      </w:tr>
      <w:tr w:rsidR="00D900D9" w:rsidRPr="006E751A" w14:paraId="55EAF365" w14:textId="77777777" w:rsidTr="00604541">
        <w:tc>
          <w:tcPr>
            <w:tcW w:w="977" w:type="dxa"/>
          </w:tcPr>
          <w:p w14:paraId="3321723D" w14:textId="33F94FD6"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54</w:t>
            </w:r>
          </w:p>
        </w:tc>
        <w:tc>
          <w:tcPr>
            <w:tcW w:w="1903" w:type="dxa"/>
          </w:tcPr>
          <w:p w14:paraId="252867ED" w14:textId="707D58EF"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K3SMALL</w:t>
            </w:r>
          </w:p>
        </w:tc>
        <w:tc>
          <w:tcPr>
            <w:tcW w:w="5788" w:type="dxa"/>
          </w:tcPr>
          <w:p w14:paraId="1A27B9CE" w14:textId="3C3545B1"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10FCAFD" w14:textId="77777777" w:rsidR="00D900D9" w:rsidRPr="00436535" w:rsidRDefault="00D900D9" w:rsidP="004D40F9">
            <w:pPr>
              <w:pStyle w:val="ListParagraph"/>
              <w:ind w:left="0"/>
              <w:rPr>
                <w:rFonts w:cstheme="minorHAnsi"/>
                <w:sz w:val="20"/>
                <w:szCs w:val="20"/>
              </w:rPr>
            </w:pPr>
          </w:p>
        </w:tc>
      </w:tr>
      <w:tr w:rsidR="00D900D9" w:rsidRPr="006E751A" w14:paraId="2BCBFBB7" w14:textId="77777777" w:rsidTr="00604541">
        <w:tc>
          <w:tcPr>
            <w:tcW w:w="977" w:type="dxa"/>
          </w:tcPr>
          <w:p w14:paraId="485C6B6D" w14:textId="0546C04D"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55</w:t>
            </w:r>
          </w:p>
        </w:tc>
        <w:tc>
          <w:tcPr>
            <w:tcW w:w="1903" w:type="dxa"/>
          </w:tcPr>
          <w:p w14:paraId="1C921748" w14:textId="2A8F2A3D"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K3FFC</w:t>
            </w:r>
          </w:p>
        </w:tc>
        <w:tc>
          <w:tcPr>
            <w:tcW w:w="5788" w:type="dxa"/>
          </w:tcPr>
          <w:p w14:paraId="2B93E11A" w14:textId="24D817D3"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fast food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32F61E8" w14:textId="77777777" w:rsidR="00D900D9" w:rsidRPr="00436535" w:rsidRDefault="00D900D9" w:rsidP="004D40F9">
            <w:pPr>
              <w:pStyle w:val="ListParagraph"/>
              <w:ind w:left="0"/>
              <w:rPr>
                <w:rFonts w:cstheme="minorHAnsi"/>
                <w:sz w:val="20"/>
                <w:szCs w:val="20"/>
              </w:rPr>
            </w:pPr>
          </w:p>
        </w:tc>
      </w:tr>
      <w:tr w:rsidR="00D900D9" w:rsidRPr="006E751A" w14:paraId="35BBD7D8" w14:textId="77777777" w:rsidTr="00604541">
        <w:tc>
          <w:tcPr>
            <w:tcW w:w="977" w:type="dxa"/>
          </w:tcPr>
          <w:p w14:paraId="4EC334FA" w14:textId="06892918"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56</w:t>
            </w:r>
          </w:p>
        </w:tc>
        <w:tc>
          <w:tcPr>
            <w:tcW w:w="1903" w:type="dxa"/>
          </w:tcPr>
          <w:p w14:paraId="31D42D9E" w14:textId="57FBD44D"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K3FFALL</w:t>
            </w:r>
          </w:p>
        </w:tc>
        <w:tc>
          <w:tcPr>
            <w:tcW w:w="5788" w:type="dxa"/>
          </w:tcPr>
          <w:p w14:paraId="33E6D539" w14:textId="3D61EEF6"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398EC8D8" w14:textId="77777777" w:rsidR="00D900D9" w:rsidRPr="00436535" w:rsidRDefault="00D900D9" w:rsidP="004D40F9">
            <w:pPr>
              <w:pStyle w:val="ListParagraph"/>
              <w:ind w:left="0"/>
              <w:rPr>
                <w:rFonts w:cstheme="minorHAnsi"/>
                <w:sz w:val="20"/>
                <w:szCs w:val="20"/>
              </w:rPr>
            </w:pPr>
          </w:p>
        </w:tc>
      </w:tr>
      <w:tr w:rsidR="00D900D9" w:rsidRPr="006E751A" w14:paraId="51D4ACA5" w14:textId="77777777" w:rsidTr="00604541">
        <w:tc>
          <w:tcPr>
            <w:tcW w:w="977" w:type="dxa"/>
          </w:tcPr>
          <w:p w14:paraId="7CCD553B" w14:textId="34320197"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57</w:t>
            </w:r>
          </w:p>
        </w:tc>
        <w:tc>
          <w:tcPr>
            <w:tcW w:w="1903" w:type="dxa"/>
          </w:tcPr>
          <w:p w14:paraId="6C4BBDCE" w14:textId="6006FAC2"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K3LIQ</w:t>
            </w:r>
          </w:p>
        </w:tc>
        <w:tc>
          <w:tcPr>
            <w:tcW w:w="5788" w:type="dxa"/>
          </w:tcPr>
          <w:p w14:paraId="30BD6DF7" w14:textId="4564EFB8"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E306662" w14:textId="77777777" w:rsidR="00D900D9" w:rsidRPr="00436535" w:rsidRDefault="00D900D9" w:rsidP="004D40F9">
            <w:pPr>
              <w:pStyle w:val="ListParagraph"/>
              <w:ind w:left="0"/>
              <w:rPr>
                <w:rFonts w:cstheme="minorHAnsi"/>
                <w:sz w:val="20"/>
                <w:szCs w:val="20"/>
              </w:rPr>
            </w:pPr>
          </w:p>
        </w:tc>
      </w:tr>
      <w:tr w:rsidR="00D900D9" w:rsidRPr="006E751A" w14:paraId="663E1459" w14:textId="77777777" w:rsidTr="00604541">
        <w:tc>
          <w:tcPr>
            <w:tcW w:w="977" w:type="dxa"/>
          </w:tcPr>
          <w:p w14:paraId="08806348" w14:textId="46D4D599"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58</w:t>
            </w:r>
          </w:p>
        </w:tc>
        <w:tc>
          <w:tcPr>
            <w:tcW w:w="1903" w:type="dxa"/>
          </w:tcPr>
          <w:p w14:paraId="406D6965" w14:textId="72F0C726"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K3ALC</w:t>
            </w:r>
          </w:p>
        </w:tc>
        <w:tc>
          <w:tcPr>
            <w:tcW w:w="5788" w:type="dxa"/>
          </w:tcPr>
          <w:p w14:paraId="40710FEC" w14:textId="31F60A94"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4C7CAE78" w14:textId="77777777" w:rsidR="00D900D9" w:rsidRPr="00436535" w:rsidRDefault="00D900D9" w:rsidP="004D40F9">
            <w:pPr>
              <w:pStyle w:val="ListParagraph"/>
              <w:ind w:left="0"/>
              <w:rPr>
                <w:rFonts w:cstheme="minorHAnsi"/>
                <w:sz w:val="20"/>
                <w:szCs w:val="20"/>
              </w:rPr>
            </w:pPr>
          </w:p>
        </w:tc>
      </w:tr>
      <w:tr w:rsidR="00D900D9" w:rsidRPr="006E751A" w14:paraId="0BC61112" w14:textId="77777777" w:rsidTr="00604541">
        <w:tc>
          <w:tcPr>
            <w:tcW w:w="977" w:type="dxa"/>
          </w:tcPr>
          <w:p w14:paraId="527B6F2C" w14:textId="47009FF0"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59</w:t>
            </w:r>
          </w:p>
        </w:tc>
        <w:tc>
          <w:tcPr>
            <w:tcW w:w="1903" w:type="dxa"/>
          </w:tcPr>
          <w:p w14:paraId="6464DE72" w14:textId="7F0AE55D"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K3ALLALC</w:t>
            </w:r>
          </w:p>
        </w:tc>
        <w:tc>
          <w:tcPr>
            <w:tcW w:w="5788" w:type="dxa"/>
          </w:tcPr>
          <w:p w14:paraId="0CB6B819" w14:textId="181D26C8" w:rsidR="00D900D9"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58C15426" w14:textId="77777777" w:rsidR="00D900D9" w:rsidRPr="00436535" w:rsidRDefault="00D900D9" w:rsidP="004D40F9">
            <w:pPr>
              <w:pStyle w:val="ListParagraph"/>
              <w:ind w:left="0"/>
              <w:rPr>
                <w:rFonts w:cstheme="minorHAnsi"/>
                <w:sz w:val="20"/>
                <w:szCs w:val="20"/>
              </w:rPr>
            </w:pPr>
          </w:p>
        </w:tc>
      </w:tr>
      <w:tr w:rsidR="00D900D9" w:rsidRPr="006E751A" w14:paraId="31163701" w14:textId="77777777" w:rsidTr="00604541">
        <w:tc>
          <w:tcPr>
            <w:tcW w:w="977" w:type="dxa"/>
          </w:tcPr>
          <w:p w14:paraId="2D0FE16E" w14:textId="7E04A1A9"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60</w:t>
            </w:r>
          </w:p>
        </w:tc>
        <w:tc>
          <w:tcPr>
            <w:tcW w:w="1903" w:type="dxa"/>
          </w:tcPr>
          <w:p w14:paraId="5547FD25" w14:textId="07E6A8A5" w:rsidR="00D900D9" w:rsidRDefault="00D900D9" w:rsidP="00D900D9">
            <w:pPr>
              <w:tabs>
                <w:tab w:val="center" w:pos="6480"/>
              </w:tabs>
              <w:autoSpaceDE w:val="0"/>
              <w:autoSpaceDN w:val="0"/>
              <w:adjustRightInd w:val="0"/>
              <w:rPr>
                <w:rFonts w:cs="SAS Monospace"/>
                <w:sz w:val="20"/>
                <w:szCs w:val="20"/>
              </w:rPr>
            </w:pPr>
            <w:r w:rsidRPr="00436535">
              <w:rPr>
                <w:rFonts w:cstheme="minorHAnsi"/>
                <w:sz w:val="20"/>
                <w:szCs w:val="20"/>
              </w:rPr>
              <w:t>K</w:t>
            </w:r>
            <w:r>
              <w:rPr>
                <w:rFonts w:cstheme="minorHAnsi"/>
                <w:sz w:val="20"/>
                <w:szCs w:val="20"/>
              </w:rPr>
              <w:t>3</w:t>
            </w:r>
            <w:r w:rsidRPr="00436535">
              <w:rPr>
                <w:rFonts w:cstheme="minorHAnsi"/>
                <w:sz w:val="20"/>
                <w:szCs w:val="20"/>
              </w:rPr>
              <w:t>FAV</w:t>
            </w:r>
          </w:p>
        </w:tc>
        <w:tc>
          <w:tcPr>
            <w:tcW w:w="5788" w:type="dxa"/>
          </w:tcPr>
          <w:p w14:paraId="45C75985" w14:textId="5E979DED" w:rsidR="00D900D9"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0BC21E6F" w14:textId="77777777" w:rsidR="00D900D9" w:rsidRPr="00436535" w:rsidRDefault="00D900D9" w:rsidP="004D40F9">
            <w:pPr>
              <w:pStyle w:val="ListParagraph"/>
              <w:ind w:left="0"/>
              <w:rPr>
                <w:rFonts w:cstheme="minorHAnsi"/>
                <w:sz w:val="20"/>
                <w:szCs w:val="20"/>
              </w:rPr>
            </w:pPr>
          </w:p>
        </w:tc>
      </w:tr>
      <w:tr w:rsidR="00D900D9" w:rsidRPr="006E751A" w14:paraId="0EF9BB13" w14:textId="77777777" w:rsidTr="00604541">
        <w:tc>
          <w:tcPr>
            <w:tcW w:w="977" w:type="dxa"/>
          </w:tcPr>
          <w:p w14:paraId="1586E54B" w14:textId="12BACAAE"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61</w:t>
            </w:r>
          </w:p>
        </w:tc>
        <w:tc>
          <w:tcPr>
            <w:tcW w:w="1903" w:type="dxa"/>
          </w:tcPr>
          <w:p w14:paraId="73172158" w14:textId="6D8BB14E" w:rsidR="00D900D9" w:rsidRPr="00436535" w:rsidRDefault="00D900D9" w:rsidP="00D900D9">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w:t>
            </w:r>
            <w:r w:rsidRPr="00436535">
              <w:rPr>
                <w:rFonts w:cstheme="minorHAnsi"/>
                <w:sz w:val="20"/>
                <w:szCs w:val="20"/>
              </w:rPr>
              <w:t>UNFAV</w:t>
            </w:r>
          </w:p>
        </w:tc>
        <w:tc>
          <w:tcPr>
            <w:tcW w:w="5788" w:type="dxa"/>
          </w:tcPr>
          <w:p w14:paraId="59672886" w14:textId="4DF6A6F0"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w:t>
            </w:r>
            <w:r w:rsidRPr="00436535">
              <w:rPr>
                <w:rFonts w:cstheme="minorHAnsi"/>
                <w:sz w:val="20"/>
                <w:szCs w:val="20"/>
              </w:rPr>
              <w:lastRenderedPageBreak/>
              <w:t xml:space="preserve">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658A8ABF" w14:textId="77777777" w:rsidR="00D900D9" w:rsidRPr="00436535" w:rsidRDefault="00D900D9" w:rsidP="004D40F9">
            <w:pPr>
              <w:pStyle w:val="ListParagraph"/>
              <w:ind w:left="0"/>
              <w:rPr>
                <w:rFonts w:cstheme="minorHAnsi"/>
                <w:sz w:val="20"/>
                <w:szCs w:val="20"/>
              </w:rPr>
            </w:pPr>
          </w:p>
        </w:tc>
      </w:tr>
      <w:tr w:rsidR="00D900D9" w:rsidRPr="006E751A" w14:paraId="6C7640D4" w14:textId="77777777" w:rsidTr="00604541">
        <w:tc>
          <w:tcPr>
            <w:tcW w:w="977" w:type="dxa"/>
          </w:tcPr>
          <w:p w14:paraId="6361D3FA" w14:textId="22FE3979"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lastRenderedPageBreak/>
              <w:t>62</w:t>
            </w:r>
          </w:p>
        </w:tc>
        <w:tc>
          <w:tcPr>
            <w:tcW w:w="1903" w:type="dxa"/>
          </w:tcPr>
          <w:p w14:paraId="3B0E060C" w14:textId="0A6F1FB4" w:rsidR="00D900D9" w:rsidRPr="00436535" w:rsidRDefault="00D900D9" w:rsidP="00D900D9">
            <w:pPr>
              <w:tabs>
                <w:tab w:val="center" w:pos="6480"/>
              </w:tabs>
              <w:autoSpaceDE w:val="0"/>
              <w:autoSpaceDN w:val="0"/>
              <w:adjustRightInd w:val="0"/>
              <w:rPr>
                <w:rFonts w:cstheme="minorHAnsi"/>
                <w:sz w:val="20"/>
                <w:szCs w:val="20"/>
              </w:rPr>
            </w:pPr>
            <w:r>
              <w:rPr>
                <w:rFonts w:cstheme="minorHAnsi"/>
                <w:sz w:val="20"/>
                <w:szCs w:val="20"/>
              </w:rPr>
              <w:t>K3</w:t>
            </w:r>
            <w:r w:rsidRPr="00436535">
              <w:rPr>
                <w:rFonts w:cstheme="minorHAnsi"/>
                <w:sz w:val="20"/>
                <w:szCs w:val="20"/>
              </w:rPr>
              <w:t>UNFAVFO</w:t>
            </w:r>
          </w:p>
        </w:tc>
        <w:tc>
          <w:tcPr>
            <w:tcW w:w="5788" w:type="dxa"/>
          </w:tcPr>
          <w:p w14:paraId="240AC73D" w14:textId="7E97012F"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4C8A3092" w14:textId="77777777" w:rsidR="00D900D9" w:rsidRPr="00436535" w:rsidRDefault="00D900D9" w:rsidP="004D40F9">
            <w:pPr>
              <w:pStyle w:val="ListParagraph"/>
              <w:ind w:left="0"/>
              <w:rPr>
                <w:rFonts w:cstheme="minorHAnsi"/>
                <w:sz w:val="20"/>
                <w:szCs w:val="20"/>
              </w:rPr>
            </w:pPr>
          </w:p>
        </w:tc>
      </w:tr>
      <w:tr w:rsidR="00D900D9" w:rsidRPr="006E751A" w14:paraId="7E9E87A4" w14:textId="77777777" w:rsidTr="00604541">
        <w:tc>
          <w:tcPr>
            <w:tcW w:w="977" w:type="dxa"/>
          </w:tcPr>
          <w:p w14:paraId="6076A70C" w14:textId="0DEF9CA5"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63</w:t>
            </w:r>
          </w:p>
        </w:tc>
        <w:tc>
          <w:tcPr>
            <w:tcW w:w="1903" w:type="dxa"/>
          </w:tcPr>
          <w:p w14:paraId="42F36820" w14:textId="6420000D"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K3TOTFOOD</w:t>
            </w:r>
          </w:p>
        </w:tc>
        <w:tc>
          <w:tcPr>
            <w:tcW w:w="5788" w:type="dxa"/>
          </w:tcPr>
          <w:p w14:paraId="0EEE7BA1" w14:textId="0B7F2BB1" w:rsidR="00D900D9" w:rsidRPr="00436535" w:rsidRDefault="00D900D9" w:rsidP="000C78FB">
            <w:pPr>
              <w:tabs>
                <w:tab w:val="center" w:pos="6480"/>
              </w:tabs>
              <w:autoSpaceDE w:val="0"/>
              <w:autoSpaceDN w:val="0"/>
              <w:adjustRightInd w:val="0"/>
              <w:rPr>
                <w:rFonts w:cstheme="minorHAnsi"/>
                <w:sz w:val="20"/>
                <w:szCs w:val="20"/>
              </w:rPr>
            </w:pPr>
            <w:r>
              <w:rPr>
                <w:rFonts w:cstheme="minorHAnsi"/>
                <w:sz w:val="20"/>
                <w:szCs w:val="20"/>
              </w:rPr>
              <w:t xml:space="preserve">3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6E098775" w14:textId="77777777" w:rsidR="00D900D9" w:rsidRPr="00436535" w:rsidRDefault="00D900D9" w:rsidP="004D40F9">
            <w:pPr>
              <w:pStyle w:val="ListParagraph"/>
              <w:ind w:left="0"/>
              <w:rPr>
                <w:rFonts w:cstheme="minorHAnsi"/>
                <w:sz w:val="20"/>
                <w:szCs w:val="20"/>
              </w:rPr>
            </w:pPr>
          </w:p>
        </w:tc>
      </w:tr>
      <w:tr w:rsidR="00D900D9" w:rsidRPr="006E751A" w14:paraId="35C8A306" w14:textId="77777777" w:rsidTr="00604541">
        <w:tc>
          <w:tcPr>
            <w:tcW w:w="977" w:type="dxa"/>
          </w:tcPr>
          <w:p w14:paraId="49FB9BF6" w14:textId="3C591692"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64</w:t>
            </w:r>
          </w:p>
        </w:tc>
        <w:tc>
          <w:tcPr>
            <w:tcW w:w="1903" w:type="dxa"/>
          </w:tcPr>
          <w:p w14:paraId="549B0070" w14:textId="3AAECD63" w:rsidR="00D900D9" w:rsidRDefault="00D900D9" w:rsidP="00D900D9">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w:t>
            </w:r>
            <w:r w:rsidRPr="00436535">
              <w:rPr>
                <w:rFonts w:cstheme="minorHAnsi"/>
                <w:sz w:val="20"/>
                <w:szCs w:val="20"/>
              </w:rPr>
              <w:t>MRFEI_TOT</w:t>
            </w:r>
          </w:p>
        </w:tc>
        <w:tc>
          <w:tcPr>
            <w:tcW w:w="5788" w:type="dxa"/>
          </w:tcPr>
          <w:p w14:paraId="596C9AE2" w14:textId="79818AAF" w:rsidR="00D900D9" w:rsidRDefault="00D900D9"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w:t>
            </w:r>
            <w:r>
              <w:rPr>
                <w:rFonts w:cstheme="minorHAnsi"/>
                <w:sz w:val="20"/>
                <w:szCs w:val="20"/>
              </w:rPr>
              <w:t>3</w:t>
            </w:r>
            <w:r w:rsidRPr="00436535">
              <w:rPr>
                <w:rFonts w:cstheme="minorHAnsi"/>
                <w:sz w:val="20"/>
                <w:szCs w:val="20"/>
              </w:rPr>
              <w:t xml:space="preserve"> mile kernel density.  This is calculated from K</w:t>
            </w:r>
            <w:r w:rsidR="000B635D">
              <w:rPr>
                <w:rFonts w:cstheme="minorHAnsi"/>
                <w:sz w:val="20"/>
                <w:szCs w:val="20"/>
              </w:rPr>
              <w:t>3</w:t>
            </w:r>
            <w:r w:rsidRPr="00436535">
              <w:rPr>
                <w:rFonts w:cstheme="minorHAnsi"/>
                <w:sz w:val="20"/>
                <w:szCs w:val="20"/>
              </w:rPr>
              <w:t>FAV/(K</w:t>
            </w:r>
            <w:r w:rsidR="000B635D">
              <w:rPr>
                <w:rFonts w:cstheme="minorHAnsi"/>
                <w:sz w:val="20"/>
                <w:szCs w:val="20"/>
              </w:rPr>
              <w:t>3</w:t>
            </w:r>
            <w:r w:rsidRPr="00436535">
              <w:rPr>
                <w:rFonts w:cstheme="minorHAnsi"/>
                <w:sz w:val="20"/>
                <w:szCs w:val="20"/>
              </w:rPr>
              <w:t>FAV+K</w:t>
            </w:r>
            <w:r w:rsidR="000B635D">
              <w:rPr>
                <w:rFonts w:cstheme="minorHAnsi"/>
                <w:sz w:val="20"/>
                <w:szCs w:val="20"/>
              </w:rPr>
              <w:t>3</w:t>
            </w:r>
            <w:r w:rsidRPr="00436535">
              <w:rPr>
                <w:rFonts w:cstheme="minorHAnsi"/>
                <w:sz w:val="20"/>
                <w:szCs w:val="20"/>
              </w:rPr>
              <w:t>UNFAV).</w:t>
            </w:r>
          </w:p>
        </w:tc>
        <w:tc>
          <w:tcPr>
            <w:tcW w:w="1952" w:type="dxa"/>
          </w:tcPr>
          <w:p w14:paraId="367EB3E8" w14:textId="255DE79F" w:rsidR="00D900D9" w:rsidRPr="00436535" w:rsidRDefault="00D900D9"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D900D9" w:rsidRPr="006E751A" w14:paraId="0A0BACF5" w14:textId="77777777" w:rsidTr="00604541">
        <w:tc>
          <w:tcPr>
            <w:tcW w:w="977" w:type="dxa"/>
          </w:tcPr>
          <w:p w14:paraId="41270290" w14:textId="40C3B475"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65</w:t>
            </w:r>
          </w:p>
        </w:tc>
        <w:tc>
          <w:tcPr>
            <w:tcW w:w="1903" w:type="dxa"/>
          </w:tcPr>
          <w:p w14:paraId="109A2276" w14:textId="5F0A208F" w:rsidR="00D900D9" w:rsidRPr="00436535" w:rsidRDefault="00D900D9" w:rsidP="00D900D9">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w:t>
            </w:r>
            <w:r w:rsidRPr="00436535">
              <w:rPr>
                <w:rFonts w:cstheme="minorHAnsi"/>
                <w:sz w:val="20"/>
                <w:szCs w:val="20"/>
              </w:rPr>
              <w:t>MRFEI_NOALC</w:t>
            </w:r>
          </w:p>
        </w:tc>
        <w:tc>
          <w:tcPr>
            <w:tcW w:w="5788" w:type="dxa"/>
          </w:tcPr>
          <w:p w14:paraId="0428BBAC" w14:textId="49464C44" w:rsidR="00D900D9" w:rsidRPr="00436535" w:rsidRDefault="00D900D9"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w:t>
            </w:r>
            <w:r>
              <w:rPr>
                <w:rFonts w:cstheme="minorHAnsi"/>
                <w:sz w:val="20"/>
                <w:szCs w:val="20"/>
              </w:rPr>
              <w:t>3</w:t>
            </w:r>
            <w:r w:rsidRPr="00436535">
              <w:rPr>
                <w:rFonts w:cstheme="minorHAnsi"/>
                <w:sz w:val="20"/>
                <w:szCs w:val="20"/>
              </w:rPr>
              <w:t xml:space="preserve"> mile kernel density.  This is calculated from K</w:t>
            </w:r>
            <w:r w:rsidR="000B635D">
              <w:rPr>
                <w:rFonts w:cstheme="minorHAnsi"/>
                <w:sz w:val="20"/>
                <w:szCs w:val="20"/>
              </w:rPr>
              <w:t>3</w:t>
            </w:r>
            <w:r w:rsidRPr="00436535">
              <w:rPr>
                <w:rFonts w:cstheme="minorHAnsi"/>
                <w:sz w:val="20"/>
                <w:szCs w:val="20"/>
              </w:rPr>
              <w:t>FAV/(K</w:t>
            </w:r>
            <w:r w:rsidR="000B635D">
              <w:rPr>
                <w:rFonts w:cstheme="minorHAnsi"/>
                <w:sz w:val="20"/>
                <w:szCs w:val="20"/>
              </w:rPr>
              <w:t>3</w:t>
            </w:r>
            <w:r w:rsidRPr="00436535">
              <w:rPr>
                <w:rFonts w:cstheme="minorHAnsi"/>
                <w:sz w:val="20"/>
                <w:szCs w:val="20"/>
              </w:rPr>
              <w:t>FAV+K</w:t>
            </w:r>
            <w:r w:rsidR="000B635D">
              <w:rPr>
                <w:rFonts w:cstheme="minorHAnsi"/>
                <w:sz w:val="20"/>
                <w:szCs w:val="20"/>
              </w:rPr>
              <w:t>3</w:t>
            </w:r>
            <w:r w:rsidRPr="00436535">
              <w:rPr>
                <w:rFonts w:cstheme="minorHAnsi"/>
                <w:sz w:val="20"/>
                <w:szCs w:val="20"/>
              </w:rPr>
              <w:t>UNFAVFO).</w:t>
            </w:r>
          </w:p>
        </w:tc>
        <w:tc>
          <w:tcPr>
            <w:tcW w:w="1952" w:type="dxa"/>
          </w:tcPr>
          <w:p w14:paraId="29B46ECE" w14:textId="52D22B73" w:rsidR="00D900D9" w:rsidRPr="00436535" w:rsidRDefault="00D900D9"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D900D9" w:rsidRPr="006E751A" w14:paraId="75D7F478" w14:textId="77777777" w:rsidTr="00604541">
        <w:tc>
          <w:tcPr>
            <w:tcW w:w="977" w:type="dxa"/>
          </w:tcPr>
          <w:p w14:paraId="54F8F837" w14:textId="2EEEC90B"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66</w:t>
            </w:r>
          </w:p>
        </w:tc>
        <w:tc>
          <w:tcPr>
            <w:tcW w:w="1903" w:type="dxa"/>
          </w:tcPr>
          <w:p w14:paraId="6E5727A6" w14:textId="229006BC" w:rsidR="00D900D9" w:rsidRPr="00436535" w:rsidRDefault="00D900D9" w:rsidP="00D900D9">
            <w:pPr>
              <w:tabs>
                <w:tab w:val="center" w:pos="6480"/>
              </w:tabs>
              <w:autoSpaceDE w:val="0"/>
              <w:autoSpaceDN w:val="0"/>
              <w:adjustRightInd w:val="0"/>
              <w:rPr>
                <w:rFonts w:cstheme="minorHAnsi"/>
                <w:sz w:val="20"/>
                <w:szCs w:val="20"/>
              </w:rPr>
            </w:pPr>
            <w:r>
              <w:rPr>
                <w:rFonts w:cs="SAS Monospace"/>
                <w:sz w:val="20"/>
                <w:szCs w:val="20"/>
              </w:rPr>
              <w:t>A_K3SCH</w:t>
            </w:r>
          </w:p>
        </w:tc>
        <w:tc>
          <w:tcPr>
            <w:tcW w:w="5788" w:type="dxa"/>
          </w:tcPr>
          <w:p w14:paraId="20990B0F" w14:textId="06232E70" w:rsidR="00D900D9" w:rsidRPr="00436535"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supermarket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A4A0CC0" w14:textId="77777777" w:rsidR="00D900D9" w:rsidRPr="00436535" w:rsidRDefault="00D900D9" w:rsidP="004D40F9">
            <w:pPr>
              <w:pStyle w:val="ListParagraph"/>
              <w:ind w:left="0"/>
              <w:rPr>
                <w:rFonts w:cstheme="minorHAnsi"/>
                <w:sz w:val="20"/>
                <w:szCs w:val="20"/>
              </w:rPr>
            </w:pPr>
          </w:p>
        </w:tc>
      </w:tr>
      <w:tr w:rsidR="00D900D9" w:rsidRPr="006E751A" w14:paraId="73D2392B" w14:textId="77777777" w:rsidTr="00604541">
        <w:tc>
          <w:tcPr>
            <w:tcW w:w="977" w:type="dxa"/>
          </w:tcPr>
          <w:p w14:paraId="40A822A8" w14:textId="19A36AFD"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67</w:t>
            </w:r>
          </w:p>
        </w:tc>
        <w:tc>
          <w:tcPr>
            <w:tcW w:w="1903" w:type="dxa"/>
          </w:tcPr>
          <w:p w14:paraId="0D466153" w14:textId="0A5F2CA6"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A_K3SMALL</w:t>
            </w:r>
          </w:p>
        </w:tc>
        <w:tc>
          <w:tcPr>
            <w:tcW w:w="5788" w:type="dxa"/>
          </w:tcPr>
          <w:p w14:paraId="60105BE8" w14:textId="0EB93A09"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supermarket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6EA2BA4E" w14:textId="77777777" w:rsidR="00D900D9" w:rsidRPr="00436535" w:rsidRDefault="00D900D9" w:rsidP="004D40F9">
            <w:pPr>
              <w:pStyle w:val="ListParagraph"/>
              <w:ind w:left="0"/>
              <w:rPr>
                <w:rFonts w:cstheme="minorHAnsi"/>
                <w:sz w:val="20"/>
                <w:szCs w:val="20"/>
              </w:rPr>
            </w:pPr>
          </w:p>
        </w:tc>
      </w:tr>
      <w:tr w:rsidR="00D900D9" w:rsidRPr="006E751A" w14:paraId="40265C16" w14:textId="77777777" w:rsidTr="00604541">
        <w:tc>
          <w:tcPr>
            <w:tcW w:w="977" w:type="dxa"/>
          </w:tcPr>
          <w:p w14:paraId="1B207883" w14:textId="2D4C2408"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68</w:t>
            </w:r>
          </w:p>
        </w:tc>
        <w:tc>
          <w:tcPr>
            <w:tcW w:w="1903" w:type="dxa"/>
          </w:tcPr>
          <w:p w14:paraId="47BC0172" w14:textId="00408153"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A_K3FFC</w:t>
            </w:r>
          </w:p>
        </w:tc>
        <w:tc>
          <w:tcPr>
            <w:tcW w:w="5788" w:type="dxa"/>
          </w:tcPr>
          <w:p w14:paraId="129053AD" w14:textId="72F41959"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fast food chains.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45E6BE7B" w14:textId="77777777" w:rsidR="00D900D9" w:rsidRPr="00436535" w:rsidRDefault="00D900D9" w:rsidP="004D40F9">
            <w:pPr>
              <w:pStyle w:val="ListParagraph"/>
              <w:ind w:left="0"/>
              <w:rPr>
                <w:rFonts w:cstheme="minorHAnsi"/>
                <w:sz w:val="20"/>
                <w:szCs w:val="20"/>
              </w:rPr>
            </w:pPr>
          </w:p>
        </w:tc>
      </w:tr>
      <w:tr w:rsidR="00D900D9" w:rsidRPr="006E751A" w14:paraId="2FA4C391" w14:textId="77777777" w:rsidTr="00604541">
        <w:tc>
          <w:tcPr>
            <w:tcW w:w="977" w:type="dxa"/>
          </w:tcPr>
          <w:p w14:paraId="58A7B01B" w14:textId="5D0F229E"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69</w:t>
            </w:r>
          </w:p>
        </w:tc>
        <w:tc>
          <w:tcPr>
            <w:tcW w:w="1903" w:type="dxa"/>
          </w:tcPr>
          <w:p w14:paraId="341BCE28" w14:textId="45ADF64A"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A_K3FFALL</w:t>
            </w:r>
          </w:p>
        </w:tc>
        <w:tc>
          <w:tcPr>
            <w:tcW w:w="5788" w:type="dxa"/>
          </w:tcPr>
          <w:p w14:paraId="29C09FE9" w14:textId="197D605F"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fast food chain+non-chain.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5DC37D24" w14:textId="77777777" w:rsidR="00D900D9" w:rsidRPr="00436535" w:rsidRDefault="00D900D9" w:rsidP="004D40F9">
            <w:pPr>
              <w:pStyle w:val="ListParagraph"/>
              <w:ind w:left="0"/>
              <w:rPr>
                <w:rFonts w:cstheme="minorHAnsi"/>
                <w:sz w:val="20"/>
                <w:szCs w:val="20"/>
              </w:rPr>
            </w:pPr>
          </w:p>
        </w:tc>
      </w:tr>
      <w:tr w:rsidR="00D900D9" w:rsidRPr="006E751A" w14:paraId="0D096AF9" w14:textId="77777777" w:rsidTr="00604541">
        <w:tc>
          <w:tcPr>
            <w:tcW w:w="977" w:type="dxa"/>
          </w:tcPr>
          <w:p w14:paraId="45E0E29E" w14:textId="28AFEDD4"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70</w:t>
            </w:r>
          </w:p>
        </w:tc>
        <w:tc>
          <w:tcPr>
            <w:tcW w:w="1903" w:type="dxa"/>
          </w:tcPr>
          <w:p w14:paraId="5F6295D9" w14:textId="3DCE4402"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A_K3LIQ</w:t>
            </w:r>
          </w:p>
        </w:tc>
        <w:tc>
          <w:tcPr>
            <w:tcW w:w="5788" w:type="dxa"/>
          </w:tcPr>
          <w:p w14:paraId="641B867D" w14:textId="79E6EBB5"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liquor stores.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0F034F64" w14:textId="77777777" w:rsidR="00D900D9" w:rsidRPr="00436535" w:rsidRDefault="00D900D9" w:rsidP="004D40F9">
            <w:pPr>
              <w:pStyle w:val="ListParagraph"/>
              <w:ind w:left="0"/>
              <w:rPr>
                <w:rFonts w:cstheme="minorHAnsi"/>
                <w:sz w:val="20"/>
                <w:szCs w:val="20"/>
              </w:rPr>
            </w:pPr>
          </w:p>
        </w:tc>
      </w:tr>
      <w:tr w:rsidR="00D900D9" w:rsidRPr="006E751A" w14:paraId="12E6073B" w14:textId="77777777" w:rsidTr="00604541">
        <w:tc>
          <w:tcPr>
            <w:tcW w:w="977" w:type="dxa"/>
          </w:tcPr>
          <w:p w14:paraId="25C1F9D6" w14:textId="00439D1C"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71</w:t>
            </w:r>
          </w:p>
        </w:tc>
        <w:tc>
          <w:tcPr>
            <w:tcW w:w="1903" w:type="dxa"/>
          </w:tcPr>
          <w:p w14:paraId="1D9A4349" w14:textId="2D13E1C3"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A_K3ALC</w:t>
            </w:r>
          </w:p>
        </w:tc>
        <w:tc>
          <w:tcPr>
            <w:tcW w:w="5788" w:type="dxa"/>
          </w:tcPr>
          <w:p w14:paraId="4214185E" w14:textId="2AED7EBC"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17F7A79E" w14:textId="77777777" w:rsidR="00D900D9" w:rsidRPr="00436535" w:rsidRDefault="00D900D9" w:rsidP="004D40F9">
            <w:pPr>
              <w:pStyle w:val="ListParagraph"/>
              <w:ind w:left="0"/>
              <w:rPr>
                <w:rFonts w:cstheme="minorHAnsi"/>
                <w:sz w:val="20"/>
                <w:szCs w:val="20"/>
              </w:rPr>
            </w:pPr>
          </w:p>
        </w:tc>
      </w:tr>
      <w:tr w:rsidR="00D900D9" w:rsidRPr="006E751A" w14:paraId="4A7428BA" w14:textId="77777777" w:rsidTr="00604541">
        <w:tc>
          <w:tcPr>
            <w:tcW w:w="977" w:type="dxa"/>
          </w:tcPr>
          <w:p w14:paraId="36B04EEE" w14:textId="3CEEEC66"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72</w:t>
            </w:r>
          </w:p>
        </w:tc>
        <w:tc>
          <w:tcPr>
            <w:tcW w:w="1903" w:type="dxa"/>
          </w:tcPr>
          <w:p w14:paraId="24D0C339" w14:textId="6EC8B1EE" w:rsidR="00D900D9" w:rsidRDefault="00D900D9" w:rsidP="00D900D9">
            <w:pPr>
              <w:tabs>
                <w:tab w:val="center" w:pos="6480"/>
              </w:tabs>
              <w:autoSpaceDE w:val="0"/>
              <w:autoSpaceDN w:val="0"/>
              <w:adjustRightInd w:val="0"/>
              <w:rPr>
                <w:rFonts w:cs="SAS Monospace"/>
                <w:sz w:val="20"/>
                <w:szCs w:val="20"/>
              </w:rPr>
            </w:pPr>
            <w:r>
              <w:rPr>
                <w:rFonts w:cs="SAS Monospace"/>
                <w:sz w:val="20"/>
                <w:szCs w:val="20"/>
              </w:rPr>
              <w:t>A_K3ALLALC</w:t>
            </w:r>
          </w:p>
        </w:tc>
        <w:tc>
          <w:tcPr>
            <w:tcW w:w="5788" w:type="dxa"/>
          </w:tcPr>
          <w:p w14:paraId="77DE3579" w14:textId="7423AF10"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businesses per square mile.</w:t>
            </w:r>
          </w:p>
        </w:tc>
        <w:tc>
          <w:tcPr>
            <w:tcW w:w="1952" w:type="dxa"/>
          </w:tcPr>
          <w:p w14:paraId="22B66602" w14:textId="77777777" w:rsidR="00D900D9" w:rsidRPr="00436535" w:rsidRDefault="00D900D9" w:rsidP="004D40F9">
            <w:pPr>
              <w:pStyle w:val="ListParagraph"/>
              <w:ind w:left="0"/>
              <w:rPr>
                <w:rFonts w:cstheme="minorHAnsi"/>
                <w:sz w:val="20"/>
                <w:szCs w:val="20"/>
              </w:rPr>
            </w:pPr>
          </w:p>
        </w:tc>
      </w:tr>
      <w:tr w:rsidR="00D900D9" w:rsidRPr="006E751A" w14:paraId="717A50B5" w14:textId="77777777" w:rsidTr="00604541">
        <w:tc>
          <w:tcPr>
            <w:tcW w:w="977" w:type="dxa"/>
          </w:tcPr>
          <w:p w14:paraId="1990376F" w14:textId="34EFEBDC"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73</w:t>
            </w:r>
          </w:p>
        </w:tc>
        <w:tc>
          <w:tcPr>
            <w:tcW w:w="1903" w:type="dxa"/>
          </w:tcPr>
          <w:p w14:paraId="4CAB4E40" w14:textId="245EEB3A" w:rsidR="00D900D9" w:rsidRDefault="00D900D9" w:rsidP="00D900D9">
            <w:pPr>
              <w:tabs>
                <w:tab w:val="center" w:pos="6480"/>
              </w:tabs>
              <w:autoSpaceDE w:val="0"/>
              <w:autoSpaceDN w:val="0"/>
              <w:adjustRightInd w:val="0"/>
              <w:rPr>
                <w:rFonts w:cs="SAS Monospace"/>
                <w:sz w:val="20"/>
                <w:szCs w:val="20"/>
              </w:rPr>
            </w:pPr>
            <w:r>
              <w:rPr>
                <w:rFonts w:cstheme="minorHAnsi"/>
                <w:sz w:val="20"/>
                <w:szCs w:val="20"/>
              </w:rPr>
              <w:t>A_</w:t>
            </w:r>
            <w:r w:rsidRPr="00436535">
              <w:rPr>
                <w:rFonts w:cstheme="minorHAnsi"/>
                <w:sz w:val="20"/>
                <w:szCs w:val="20"/>
              </w:rPr>
              <w:t>K</w:t>
            </w:r>
            <w:r>
              <w:rPr>
                <w:rFonts w:cstheme="minorHAnsi"/>
                <w:sz w:val="20"/>
                <w:szCs w:val="20"/>
              </w:rPr>
              <w:t>3</w:t>
            </w:r>
            <w:r w:rsidRPr="00436535">
              <w:rPr>
                <w:rFonts w:cstheme="minorHAnsi"/>
                <w:sz w:val="20"/>
                <w:szCs w:val="20"/>
              </w:rPr>
              <w:t>FAV</w:t>
            </w:r>
          </w:p>
        </w:tc>
        <w:tc>
          <w:tcPr>
            <w:tcW w:w="5788" w:type="dxa"/>
          </w:tcPr>
          <w:p w14:paraId="62E5DE8A" w14:textId="17FFDE91"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a weighted</w:t>
            </w:r>
            <w:r w:rsidRPr="00436535">
              <w:rPr>
                <w:rFonts w:cstheme="minorHAnsi"/>
                <w:sz w:val="20"/>
                <w:szCs w:val="20"/>
              </w:rPr>
              <w:t xml:space="preserve"> 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2797468D" w14:textId="77777777" w:rsidR="00D900D9" w:rsidRPr="00436535" w:rsidRDefault="00D900D9" w:rsidP="004D40F9">
            <w:pPr>
              <w:pStyle w:val="ListParagraph"/>
              <w:ind w:left="0"/>
              <w:rPr>
                <w:rFonts w:cstheme="minorHAnsi"/>
                <w:sz w:val="20"/>
                <w:szCs w:val="20"/>
              </w:rPr>
            </w:pPr>
          </w:p>
        </w:tc>
      </w:tr>
      <w:tr w:rsidR="00D900D9" w:rsidRPr="006E751A" w14:paraId="726C9FA8" w14:textId="77777777" w:rsidTr="00604541">
        <w:tc>
          <w:tcPr>
            <w:tcW w:w="977" w:type="dxa"/>
          </w:tcPr>
          <w:p w14:paraId="554BCC80" w14:textId="733820E0"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74</w:t>
            </w:r>
          </w:p>
        </w:tc>
        <w:tc>
          <w:tcPr>
            <w:tcW w:w="1903" w:type="dxa"/>
          </w:tcPr>
          <w:p w14:paraId="57F13E57" w14:textId="6872DBF8"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w:t>
            </w:r>
            <w:r w:rsidRPr="00436535">
              <w:rPr>
                <w:rFonts w:cstheme="minorHAnsi"/>
                <w:sz w:val="20"/>
                <w:szCs w:val="20"/>
              </w:rPr>
              <w:t>UNFAV</w:t>
            </w:r>
          </w:p>
        </w:tc>
        <w:tc>
          <w:tcPr>
            <w:tcW w:w="5788" w:type="dxa"/>
          </w:tcPr>
          <w:p w14:paraId="5CF16266" w14:textId="4E0A2DC7"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358D83E" w14:textId="77777777" w:rsidR="00D900D9" w:rsidRPr="00436535" w:rsidRDefault="00D900D9" w:rsidP="004D40F9">
            <w:pPr>
              <w:pStyle w:val="ListParagraph"/>
              <w:ind w:left="0"/>
              <w:rPr>
                <w:rFonts w:cstheme="minorHAnsi"/>
                <w:sz w:val="20"/>
                <w:szCs w:val="20"/>
              </w:rPr>
            </w:pPr>
          </w:p>
        </w:tc>
      </w:tr>
      <w:tr w:rsidR="00D900D9" w:rsidRPr="006E751A" w14:paraId="19021B2D" w14:textId="77777777" w:rsidTr="00604541">
        <w:tc>
          <w:tcPr>
            <w:tcW w:w="977" w:type="dxa"/>
          </w:tcPr>
          <w:p w14:paraId="57941204" w14:textId="4B5215EE"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t>75</w:t>
            </w:r>
          </w:p>
        </w:tc>
        <w:tc>
          <w:tcPr>
            <w:tcW w:w="1903" w:type="dxa"/>
          </w:tcPr>
          <w:p w14:paraId="66840B01" w14:textId="196DB960"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A_K3</w:t>
            </w:r>
            <w:r w:rsidRPr="00436535">
              <w:rPr>
                <w:rFonts w:cstheme="minorHAnsi"/>
                <w:sz w:val="20"/>
                <w:szCs w:val="20"/>
              </w:rPr>
              <w:t>UNFAVFO</w:t>
            </w:r>
          </w:p>
        </w:tc>
        <w:tc>
          <w:tcPr>
            <w:tcW w:w="5788" w:type="dxa"/>
          </w:tcPr>
          <w:p w14:paraId="72A70040" w14:textId="778B019B"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kernel</w:t>
            </w:r>
            <w:r w:rsidRPr="00436535">
              <w:rPr>
                <w:rFonts w:cstheme="minorHAnsi"/>
                <w:sz w:val="20"/>
                <w:szCs w:val="20"/>
              </w:rPr>
              <w:t xml:space="preserve"> density unfavorable food stores excluding alcohol.  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 xml:space="preserve">convenience stores, </w:t>
            </w:r>
            <w:r w:rsidRPr="00436535">
              <w:rPr>
                <w:rFonts w:cstheme="minorHAnsi"/>
                <w:sz w:val="20"/>
                <w:szCs w:val="20"/>
              </w:rPr>
              <w:lastRenderedPageBreak/>
              <w:t>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0BC17DC1" w14:textId="77777777" w:rsidR="00D900D9" w:rsidRPr="00436535" w:rsidRDefault="00D900D9" w:rsidP="004D40F9">
            <w:pPr>
              <w:pStyle w:val="ListParagraph"/>
              <w:ind w:left="0"/>
              <w:rPr>
                <w:rFonts w:cstheme="minorHAnsi"/>
                <w:sz w:val="20"/>
                <w:szCs w:val="20"/>
              </w:rPr>
            </w:pPr>
          </w:p>
        </w:tc>
      </w:tr>
      <w:tr w:rsidR="00D900D9" w:rsidRPr="006E751A" w14:paraId="7B040B4E" w14:textId="77777777" w:rsidTr="00604541">
        <w:tc>
          <w:tcPr>
            <w:tcW w:w="977" w:type="dxa"/>
          </w:tcPr>
          <w:p w14:paraId="7A267C7D" w14:textId="27201C29" w:rsidR="00D900D9" w:rsidRDefault="00D900D9" w:rsidP="009F1147">
            <w:pPr>
              <w:tabs>
                <w:tab w:val="center" w:pos="6480"/>
              </w:tabs>
              <w:autoSpaceDE w:val="0"/>
              <w:autoSpaceDN w:val="0"/>
              <w:adjustRightInd w:val="0"/>
              <w:rPr>
                <w:rFonts w:cs="SAS Monospace"/>
                <w:sz w:val="20"/>
                <w:szCs w:val="20"/>
              </w:rPr>
            </w:pPr>
            <w:r>
              <w:rPr>
                <w:rFonts w:cs="SAS Monospace"/>
                <w:sz w:val="20"/>
                <w:szCs w:val="20"/>
              </w:rPr>
              <w:lastRenderedPageBreak/>
              <w:t>76</w:t>
            </w:r>
          </w:p>
        </w:tc>
        <w:tc>
          <w:tcPr>
            <w:tcW w:w="1903" w:type="dxa"/>
          </w:tcPr>
          <w:p w14:paraId="3182CE22" w14:textId="216D4A27"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A_K3TOTFOOD</w:t>
            </w:r>
          </w:p>
        </w:tc>
        <w:tc>
          <w:tcPr>
            <w:tcW w:w="5788" w:type="dxa"/>
          </w:tcPr>
          <w:p w14:paraId="022AB876" w14:textId="2AC9A11A" w:rsidR="00D900D9" w:rsidRDefault="00D900D9" w:rsidP="00D900D9">
            <w:pPr>
              <w:tabs>
                <w:tab w:val="center" w:pos="6480"/>
              </w:tabs>
              <w:autoSpaceDE w:val="0"/>
              <w:autoSpaceDN w:val="0"/>
              <w:adjustRightInd w:val="0"/>
              <w:rPr>
                <w:rFonts w:cstheme="minorHAnsi"/>
                <w:sz w:val="20"/>
                <w:szCs w:val="20"/>
              </w:rPr>
            </w:pPr>
            <w:r>
              <w:rPr>
                <w:rFonts w:cstheme="minorHAnsi"/>
                <w:sz w:val="20"/>
                <w:szCs w:val="20"/>
              </w:rPr>
              <w:t xml:space="preserve">Cumulative average of 3 mile kernel density total food stores.  </w:t>
            </w:r>
            <w:r w:rsidRPr="00436535">
              <w:rPr>
                <w:rFonts w:cstheme="minorHAnsi"/>
                <w:sz w:val="20"/>
                <w:szCs w:val="20"/>
              </w:rPr>
              <w:t xml:space="preserve">The unit of measure is </w:t>
            </w:r>
            <w:r>
              <w:rPr>
                <w:rFonts w:cstheme="minorHAnsi"/>
                <w:sz w:val="20"/>
                <w:szCs w:val="20"/>
              </w:rPr>
              <w:t xml:space="preserve">a weighted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3BF32CA2" w14:textId="77777777" w:rsidR="00D900D9" w:rsidRPr="00436535" w:rsidRDefault="00D900D9" w:rsidP="004D40F9">
            <w:pPr>
              <w:pStyle w:val="ListParagraph"/>
              <w:ind w:left="0"/>
              <w:rPr>
                <w:rFonts w:cstheme="minorHAnsi"/>
                <w:sz w:val="20"/>
                <w:szCs w:val="20"/>
              </w:rPr>
            </w:pPr>
          </w:p>
        </w:tc>
      </w:tr>
      <w:tr w:rsidR="00757D0F" w:rsidRPr="006E751A" w14:paraId="69DFDC50" w14:textId="77777777" w:rsidTr="00604541">
        <w:tc>
          <w:tcPr>
            <w:tcW w:w="977" w:type="dxa"/>
          </w:tcPr>
          <w:p w14:paraId="43BC26CD" w14:textId="288DC002"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77</w:t>
            </w:r>
          </w:p>
        </w:tc>
        <w:tc>
          <w:tcPr>
            <w:tcW w:w="1903" w:type="dxa"/>
          </w:tcPr>
          <w:p w14:paraId="2429542D" w14:textId="1E3D7582" w:rsidR="00757D0F" w:rsidRDefault="00757D0F" w:rsidP="00D900D9">
            <w:pPr>
              <w:tabs>
                <w:tab w:val="center" w:pos="6480"/>
              </w:tabs>
              <w:autoSpaceDE w:val="0"/>
              <w:autoSpaceDN w:val="0"/>
              <w:adjustRightInd w:val="0"/>
              <w:rPr>
                <w:rFonts w:cstheme="minorHAnsi"/>
                <w:sz w:val="20"/>
                <w:szCs w:val="20"/>
              </w:rPr>
            </w:pPr>
            <w:r>
              <w:rPr>
                <w:rFonts w:cs="SAS Monospace"/>
                <w:sz w:val="20"/>
                <w:szCs w:val="20"/>
              </w:rPr>
              <w:t>S0SCH</w:t>
            </w:r>
          </w:p>
        </w:tc>
        <w:tc>
          <w:tcPr>
            <w:tcW w:w="5788" w:type="dxa"/>
          </w:tcPr>
          <w:p w14:paraId="608F03AF" w14:textId="024007CA" w:rsidR="00757D0F"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98D3966" w14:textId="77777777" w:rsidR="00757D0F" w:rsidRPr="00436535" w:rsidRDefault="00757D0F" w:rsidP="004D40F9">
            <w:pPr>
              <w:pStyle w:val="ListParagraph"/>
              <w:ind w:left="0"/>
              <w:rPr>
                <w:rFonts w:cstheme="minorHAnsi"/>
                <w:sz w:val="20"/>
                <w:szCs w:val="20"/>
              </w:rPr>
            </w:pPr>
          </w:p>
        </w:tc>
      </w:tr>
      <w:tr w:rsidR="00757D0F" w:rsidRPr="006E751A" w14:paraId="5334324A" w14:textId="77777777" w:rsidTr="00604541">
        <w:tc>
          <w:tcPr>
            <w:tcW w:w="977" w:type="dxa"/>
          </w:tcPr>
          <w:p w14:paraId="5F892797" w14:textId="4C6184CC"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78</w:t>
            </w:r>
          </w:p>
        </w:tc>
        <w:tc>
          <w:tcPr>
            <w:tcW w:w="1903" w:type="dxa"/>
          </w:tcPr>
          <w:p w14:paraId="2BC0C11F" w14:textId="60422EE9"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S0SMALL</w:t>
            </w:r>
          </w:p>
        </w:tc>
        <w:tc>
          <w:tcPr>
            <w:tcW w:w="5788" w:type="dxa"/>
          </w:tcPr>
          <w:p w14:paraId="1CBD8001" w14:textId="2E2757B5"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CE4739E" w14:textId="77777777" w:rsidR="00757D0F" w:rsidRPr="00436535" w:rsidRDefault="00757D0F" w:rsidP="004D40F9">
            <w:pPr>
              <w:pStyle w:val="ListParagraph"/>
              <w:ind w:left="0"/>
              <w:rPr>
                <w:rFonts w:cstheme="minorHAnsi"/>
                <w:sz w:val="20"/>
                <w:szCs w:val="20"/>
              </w:rPr>
            </w:pPr>
          </w:p>
        </w:tc>
      </w:tr>
      <w:tr w:rsidR="00757D0F" w:rsidRPr="006E751A" w14:paraId="23ED7CB1" w14:textId="77777777" w:rsidTr="00604541">
        <w:tc>
          <w:tcPr>
            <w:tcW w:w="977" w:type="dxa"/>
          </w:tcPr>
          <w:p w14:paraId="7ACD9E32" w14:textId="112854FA"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79</w:t>
            </w:r>
          </w:p>
        </w:tc>
        <w:tc>
          <w:tcPr>
            <w:tcW w:w="1903" w:type="dxa"/>
          </w:tcPr>
          <w:p w14:paraId="3D3AD322" w14:textId="5AEA97E2"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S0FFC</w:t>
            </w:r>
          </w:p>
        </w:tc>
        <w:tc>
          <w:tcPr>
            <w:tcW w:w="5788" w:type="dxa"/>
          </w:tcPr>
          <w:p w14:paraId="14C299A5" w14:textId="2501BF17"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088CFDB3" w14:textId="77777777" w:rsidR="00757D0F" w:rsidRPr="00436535" w:rsidRDefault="00757D0F" w:rsidP="004D40F9">
            <w:pPr>
              <w:pStyle w:val="ListParagraph"/>
              <w:ind w:left="0"/>
              <w:rPr>
                <w:rFonts w:cstheme="minorHAnsi"/>
                <w:sz w:val="20"/>
                <w:szCs w:val="20"/>
              </w:rPr>
            </w:pPr>
          </w:p>
        </w:tc>
      </w:tr>
      <w:tr w:rsidR="00757D0F" w:rsidRPr="006E751A" w14:paraId="5772CBC4" w14:textId="77777777" w:rsidTr="00604541">
        <w:tc>
          <w:tcPr>
            <w:tcW w:w="977" w:type="dxa"/>
          </w:tcPr>
          <w:p w14:paraId="7F29B8F8" w14:textId="532E15E8"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80</w:t>
            </w:r>
          </w:p>
        </w:tc>
        <w:tc>
          <w:tcPr>
            <w:tcW w:w="1903" w:type="dxa"/>
          </w:tcPr>
          <w:p w14:paraId="7EA9F255" w14:textId="0B6D665A"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S0FFALL</w:t>
            </w:r>
          </w:p>
        </w:tc>
        <w:tc>
          <w:tcPr>
            <w:tcW w:w="5788" w:type="dxa"/>
          </w:tcPr>
          <w:p w14:paraId="58C2AAD4" w14:textId="1F4FD160"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fast food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3F205BE9" w14:textId="77777777" w:rsidR="00757D0F" w:rsidRPr="00436535" w:rsidRDefault="00757D0F" w:rsidP="004D40F9">
            <w:pPr>
              <w:pStyle w:val="ListParagraph"/>
              <w:ind w:left="0"/>
              <w:rPr>
                <w:rFonts w:cstheme="minorHAnsi"/>
                <w:sz w:val="20"/>
                <w:szCs w:val="20"/>
              </w:rPr>
            </w:pPr>
          </w:p>
        </w:tc>
      </w:tr>
      <w:tr w:rsidR="00757D0F" w:rsidRPr="006E751A" w14:paraId="2DA682A2" w14:textId="77777777" w:rsidTr="00604541">
        <w:tc>
          <w:tcPr>
            <w:tcW w:w="977" w:type="dxa"/>
          </w:tcPr>
          <w:p w14:paraId="0C6DF03C" w14:textId="2CE567A6"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81</w:t>
            </w:r>
          </w:p>
        </w:tc>
        <w:tc>
          <w:tcPr>
            <w:tcW w:w="1903" w:type="dxa"/>
          </w:tcPr>
          <w:p w14:paraId="70A5F341" w14:textId="03B1DA7A"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S0LIQ</w:t>
            </w:r>
          </w:p>
        </w:tc>
        <w:tc>
          <w:tcPr>
            <w:tcW w:w="5788" w:type="dxa"/>
          </w:tcPr>
          <w:p w14:paraId="2971ED11" w14:textId="6A45B959"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12A06099" w14:textId="77777777" w:rsidR="00757D0F" w:rsidRPr="00436535" w:rsidRDefault="00757D0F" w:rsidP="004D40F9">
            <w:pPr>
              <w:pStyle w:val="ListParagraph"/>
              <w:ind w:left="0"/>
              <w:rPr>
                <w:rFonts w:cstheme="minorHAnsi"/>
                <w:sz w:val="20"/>
                <w:szCs w:val="20"/>
              </w:rPr>
            </w:pPr>
          </w:p>
        </w:tc>
      </w:tr>
      <w:tr w:rsidR="00757D0F" w:rsidRPr="006E751A" w14:paraId="5F97D53C" w14:textId="77777777" w:rsidTr="00604541">
        <w:tc>
          <w:tcPr>
            <w:tcW w:w="977" w:type="dxa"/>
          </w:tcPr>
          <w:p w14:paraId="3DC2DA81" w14:textId="382618E8"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82</w:t>
            </w:r>
          </w:p>
        </w:tc>
        <w:tc>
          <w:tcPr>
            <w:tcW w:w="1903" w:type="dxa"/>
          </w:tcPr>
          <w:p w14:paraId="7745572F" w14:textId="280E707B"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S0ALC</w:t>
            </w:r>
          </w:p>
        </w:tc>
        <w:tc>
          <w:tcPr>
            <w:tcW w:w="5788" w:type="dxa"/>
          </w:tcPr>
          <w:p w14:paraId="3A2E9B7D" w14:textId="54562B68" w:rsidR="00757D0F" w:rsidRPr="00436535" w:rsidRDefault="00757D0F" w:rsidP="00757D0F">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90FD62A" w14:textId="77777777" w:rsidR="00757D0F" w:rsidRPr="00436535" w:rsidRDefault="00757D0F" w:rsidP="004D40F9">
            <w:pPr>
              <w:pStyle w:val="ListParagraph"/>
              <w:ind w:left="0"/>
              <w:rPr>
                <w:rFonts w:cstheme="minorHAnsi"/>
                <w:sz w:val="20"/>
                <w:szCs w:val="20"/>
              </w:rPr>
            </w:pPr>
          </w:p>
        </w:tc>
      </w:tr>
      <w:tr w:rsidR="00757D0F" w:rsidRPr="006E751A" w14:paraId="36AA47BC" w14:textId="77777777" w:rsidTr="00604541">
        <w:tc>
          <w:tcPr>
            <w:tcW w:w="977" w:type="dxa"/>
          </w:tcPr>
          <w:p w14:paraId="13BC9E8D" w14:textId="0B500567"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83</w:t>
            </w:r>
          </w:p>
        </w:tc>
        <w:tc>
          <w:tcPr>
            <w:tcW w:w="1903" w:type="dxa"/>
          </w:tcPr>
          <w:p w14:paraId="461B4BEF" w14:textId="511DF3B1" w:rsidR="00757D0F" w:rsidRDefault="00757D0F" w:rsidP="00D900D9">
            <w:pPr>
              <w:tabs>
                <w:tab w:val="center" w:pos="6480"/>
              </w:tabs>
              <w:autoSpaceDE w:val="0"/>
              <w:autoSpaceDN w:val="0"/>
              <w:adjustRightInd w:val="0"/>
              <w:rPr>
                <w:rFonts w:cs="SAS Monospace"/>
                <w:sz w:val="20"/>
                <w:szCs w:val="20"/>
              </w:rPr>
            </w:pPr>
            <w:r>
              <w:rPr>
                <w:rFonts w:cs="SAS Monospace"/>
                <w:sz w:val="20"/>
                <w:szCs w:val="20"/>
              </w:rPr>
              <w:t>S0ALLALC</w:t>
            </w:r>
          </w:p>
        </w:tc>
        <w:tc>
          <w:tcPr>
            <w:tcW w:w="5788" w:type="dxa"/>
          </w:tcPr>
          <w:p w14:paraId="203CD8F5" w14:textId="74F85E7D"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95BED45" w14:textId="77777777" w:rsidR="00757D0F" w:rsidRPr="00436535" w:rsidRDefault="00757D0F" w:rsidP="004D40F9">
            <w:pPr>
              <w:pStyle w:val="ListParagraph"/>
              <w:ind w:left="0"/>
              <w:rPr>
                <w:rFonts w:cstheme="minorHAnsi"/>
                <w:sz w:val="20"/>
                <w:szCs w:val="20"/>
              </w:rPr>
            </w:pPr>
          </w:p>
        </w:tc>
      </w:tr>
      <w:tr w:rsidR="00757D0F" w:rsidRPr="006E751A" w14:paraId="62C03F50" w14:textId="77777777" w:rsidTr="00604541">
        <w:tc>
          <w:tcPr>
            <w:tcW w:w="977" w:type="dxa"/>
          </w:tcPr>
          <w:p w14:paraId="72EA40F4" w14:textId="774DD000"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84</w:t>
            </w:r>
          </w:p>
        </w:tc>
        <w:tc>
          <w:tcPr>
            <w:tcW w:w="1903" w:type="dxa"/>
          </w:tcPr>
          <w:p w14:paraId="1FCABB44" w14:textId="4D85CEFD" w:rsidR="00757D0F" w:rsidRDefault="00757D0F" w:rsidP="00D900D9">
            <w:pPr>
              <w:tabs>
                <w:tab w:val="center" w:pos="6480"/>
              </w:tabs>
              <w:autoSpaceDE w:val="0"/>
              <w:autoSpaceDN w:val="0"/>
              <w:adjustRightInd w:val="0"/>
              <w:rPr>
                <w:rFonts w:cs="SAS Monospace"/>
                <w:sz w:val="20"/>
                <w:szCs w:val="20"/>
              </w:rPr>
            </w:pPr>
            <w:r>
              <w:rPr>
                <w:rFonts w:cstheme="minorHAnsi"/>
                <w:sz w:val="20"/>
                <w:szCs w:val="20"/>
              </w:rPr>
              <w:t>S</w:t>
            </w:r>
            <w:r w:rsidRPr="00436535">
              <w:rPr>
                <w:rFonts w:cstheme="minorHAnsi"/>
                <w:sz w:val="20"/>
                <w:szCs w:val="20"/>
              </w:rPr>
              <w:t>0FAV</w:t>
            </w:r>
          </w:p>
        </w:tc>
        <w:tc>
          <w:tcPr>
            <w:tcW w:w="5788" w:type="dxa"/>
          </w:tcPr>
          <w:p w14:paraId="3F7EE576" w14:textId="700A299C" w:rsidR="00757D0F"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0235BDD5" w14:textId="77777777" w:rsidR="00757D0F" w:rsidRPr="00436535" w:rsidRDefault="00757D0F" w:rsidP="004D40F9">
            <w:pPr>
              <w:pStyle w:val="ListParagraph"/>
              <w:ind w:left="0"/>
              <w:rPr>
                <w:rFonts w:cstheme="minorHAnsi"/>
                <w:sz w:val="20"/>
                <w:szCs w:val="20"/>
              </w:rPr>
            </w:pPr>
          </w:p>
        </w:tc>
      </w:tr>
      <w:tr w:rsidR="00757D0F" w:rsidRPr="006E751A" w14:paraId="29FE69A2" w14:textId="77777777" w:rsidTr="00604541">
        <w:tc>
          <w:tcPr>
            <w:tcW w:w="977" w:type="dxa"/>
          </w:tcPr>
          <w:p w14:paraId="063FD7A0" w14:textId="7F319418"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85</w:t>
            </w:r>
          </w:p>
        </w:tc>
        <w:tc>
          <w:tcPr>
            <w:tcW w:w="1903" w:type="dxa"/>
          </w:tcPr>
          <w:p w14:paraId="5A3FC3CE" w14:textId="332A439C" w:rsidR="00757D0F" w:rsidRPr="00436535" w:rsidRDefault="00757D0F" w:rsidP="00D900D9">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0UNFAV</w:t>
            </w:r>
          </w:p>
        </w:tc>
        <w:tc>
          <w:tcPr>
            <w:tcW w:w="5788" w:type="dxa"/>
          </w:tcPr>
          <w:p w14:paraId="5B4795E5" w14:textId="7FA20C6D"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644E46C9" w14:textId="77777777" w:rsidR="00757D0F" w:rsidRPr="00436535" w:rsidRDefault="00757D0F" w:rsidP="004D40F9">
            <w:pPr>
              <w:pStyle w:val="ListParagraph"/>
              <w:ind w:left="0"/>
              <w:rPr>
                <w:rFonts w:cstheme="minorHAnsi"/>
                <w:sz w:val="20"/>
                <w:szCs w:val="20"/>
              </w:rPr>
            </w:pPr>
          </w:p>
        </w:tc>
      </w:tr>
      <w:tr w:rsidR="00757D0F" w:rsidRPr="006E751A" w14:paraId="2BEFECFC" w14:textId="77777777" w:rsidTr="00604541">
        <w:tc>
          <w:tcPr>
            <w:tcW w:w="977" w:type="dxa"/>
          </w:tcPr>
          <w:p w14:paraId="69BC4B4D" w14:textId="2C0B65EA"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86</w:t>
            </w:r>
          </w:p>
        </w:tc>
        <w:tc>
          <w:tcPr>
            <w:tcW w:w="1903" w:type="dxa"/>
          </w:tcPr>
          <w:p w14:paraId="77A1BBAF" w14:textId="06C3B41E" w:rsidR="00757D0F" w:rsidRPr="00436535" w:rsidRDefault="00757D0F" w:rsidP="00D900D9">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0UNFAVFO</w:t>
            </w:r>
          </w:p>
        </w:tc>
        <w:tc>
          <w:tcPr>
            <w:tcW w:w="5788" w:type="dxa"/>
          </w:tcPr>
          <w:p w14:paraId="12AA2C4D" w14:textId="61667CEF" w:rsidR="00757D0F" w:rsidRPr="00436535" w:rsidRDefault="00757D0F" w:rsidP="00757D0F">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unfavorable food stores excluding alcohol.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257245E3" w14:textId="77777777" w:rsidR="00757D0F" w:rsidRPr="00436535" w:rsidRDefault="00757D0F" w:rsidP="004D40F9">
            <w:pPr>
              <w:pStyle w:val="ListParagraph"/>
              <w:ind w:left="0"/>
              <w:rPr>
                <w:rFonts w:cstheme="minorHAnsi"/>
                <w:sz w:val="20"/>
                <w:szCs w:val="20"/>
              </w:rPr>
            </w:pPr>
          </w:p>
        </w:tc>
      </w:tr>
      <w:tr w:rsidR="00757D0F" w:rsidRPr="006E751A" w14:paraId="477485F8" w14:textId="77777777" w:rsidTr="00604541">
        <w:tc>
          <w:tcPr>
            <w:tcW w:w="977" w:type="dxa"/>
          </w:tcPr>
          <w:p w14:paraId="32B840D3" w14:textId="4C518BF6"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87</w:t>
            </w:r>
          </w:p>
        </w:tc>
        <w:tc>
          <w:tcPr>
            <w:tcW w:w="1903" w:type="dxa"/>
          </w:tcPr>
          <w:p w14:paraId="619B9AE5" w14:textId="1CE19720" w:rsidR="00757D0F" w:rsidRDefault="00757D0F" w:rsidP="00D900D9">
            <w:pPr>
              <w:tabs>
                <w:tab w:val="center" w:pos="6480"/>
              </w:tabs>
              <w:autoSpaceDE w:val="0"/>
              <w:autoSpaceDN w:val="0"/>
              <w:adjustRightInd w:val="0"/>
              <w:rPr>
                <w:rFonts w:cstheme="minorHAnsi"/>
                <w:sz w:val="20"/>
                <w:szCs w:val="20"/>
              </w:rPr>
            </w:pPr>
            <w:r>
              <w:rPr>
                <w:rFonts w:cstheme="minorHAnsi"/>
                <w:sz w:val="20"/>
                <w:szCs w:val="20"/>
              </w:rPr>
              <w:t>S0TOTFOOD</w:t>
            </w:r>
          </w:p>
        </w:tc>
        <w:tc>
          <w:tcPr>
            <w:tcW w:w="5788" w:type="dxa"/>
          </w:tcPr>
          <w:p w14:paraId="29921E88" w14:textId="6C0C664A" w:rsidR="00757D0F" w:rsidRPr="00436535"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1/2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65AA0AFD" w14:textId="77777777" w:rsidR="00757D0F" w:rsidRPr="00436535" w:rsidRDefault="00757D0F" w:rsidP="004D40F9">
            <w:pPr>
              <w:pStyle w:val="ListParagraph"/>
              <w:ind w:left="0"/>
              <w:rPr>
                <w:rFonts w:cstheme="minorHAnsi"/>
                <w:sz w:val="20"/>
                <w:szCs w:val="20"/>
              </w:rPr>
            </w:pPr>
          </w:p>
        </w:tc>
      </w:tr>
      <w:tr w:rsidR="00757D0F" w:rsidRPr="006E751A" w14:paraId="69CFF4B9" w14:textId="77777777" w:rsidTr="00604541">
        <w:tc>
          <w:tcPr>
            <w:tcW w:w="977" w:type="dxa"/>
          </w:tcPr>
          <w:p w14:paraId="1FE2D63F" w14:textId="6F7340EB"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88</w:t>
            </w:r>
          </w:p>
        </w:tc>
        <w:tc>
          <w:tcPr>
            <w:tcW w:w="1903" w:type="dxa"/>
          </w:tcPr>
          <w:p w14:paraId="5C41F026" w14:textId="156F7142" w:rsidR="00757D0F" w:rsidRDefault="00757D0F" w:rsidP="00D900D9">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0MRFEI_TOT</w:t>
            </w:r>
          </w:p>
        </w:tc>
        <w:tc>
          <w:tcPr>
            <w:tcW w:w="5788" w:type="dxa"/>
          </w:tcPr>
          <w:p w14:paraId="68A6C3A9" w14:textId="73D060DA" w:rsidR="00757D0F" w:rsidRDefault="00757D0F"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½ mile </w:t>
            </w:r>
            <w:r>
              <w:rPr>
                <w:rFonts w:cstheme="minorHAnsi"/>
                <w:sz w:val="20"/>
                <w:szCs w:val="20"/>
              </w:rPr>
              <w:t xml:space="preserve">simple </w:t>
            </w:r>
            <w:r w:rsidRPr="00436535">
              <w:rPr>
                <w:rFonts w:cstheme="minorHAnsi"/>
                <w:sz w:val="20"/>
                <w:szCs w:val="20"/>
              </w:rPr>
              <w:t xml:space="preserve">density.  This is calculated from </w:t>
            </w:r>
            <w:r w:rsidR="000B635D">
              <w:rPr>
                <w:rFonts w:cstheme="minorHAnsi"/>
                <w:sz w:val="20"/>
                <w:szCs w:val="20"/>
              </w:rPr>
              <w:t>S</w:t>
            </w:r>
            <w:r w:rsidRPr="00436535">
              <w:rPr>
                <w:rFonts w:cstheme="minorHAnsi"/>
                <w:sz w:val="20"/>
                <w:szCs w:val="20"/>
              </w:rPr>
              <w:t>0FAV/(</w:t>
            </w:r>
            <w:r w:rsidR="000B635D">
              <w:rPr>
                <w:rFonts w:cstheme="minorHAnsi"/>
                <w:sz w:val="20"/>
                <w:szCs w:val="20"/>
              </w:rPr>
              <w:t>S</w:t>
            </w:r>
            <w:r w:rsidRPr="00436535">
              <w:rPr>
                <w:rFonts w:cstheme="minorHAnsi"/>
                <w:sz w:val="20"/>
                <w:szCs w:val="20"/>
              </w:rPr>
              <w:t>0FAV+</w:t>
            </w:r>
            <w:r w:rsidR="000B635D">
              <w:rPr>
                <w:rFonts w:cstheme="minorHAnsi"/>
                <w:sz w:val="20"/>
                <w:szCs w:val="20"/>
              </w:rPr>
              <w:t>S</w:t>
            </w:r>
            <w:r w:rsidRPr="00436535">
              <w:rPr>
                <w:rFonts w:cstheme="minorHAnsi"/>
                <w:sz w:val="20"/>
                <w:szCs w:val="20"/>
              </w:rPr>
              <w:t>0UNFAV).</w:t>
            </w:r>
          </w:p>
        </w:tc>
        <w:tc>
          <w:tcPr>
            <w:tcW w:w="1952" w:type="dxa"/>
          </w:tcPr>
          <w:p w14:paraId="60AD0CC6" w14:textId="46F6BBE3" w:rsidR="00757D0F" w:rsidRPr="00436535" w:rsidRDefault="00757D0F"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757D0F" w:rsidRPr="006E751A" w14:paraId="5FE508B5" w14:textId="77777777" w:rsidTr="00604541">
        <w:tc>
          <w:tcPr>
            <w:tcW w:w="977" w:type="dxa"/>
          </w:tcPr>
          <w:p w14:paraId="1E8F1672" w14:textId="338E6E6F"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89</w:t>
            </w:r>
          </w:p>
        </w:tc>
        <w:tc>
          <w:tcPr>
            <w:tcW w:w="1903" w:type="dxa"/>
          </w:tcPr>
          <w:p w14:paraId="725CD69F" w14:textId="6F58A127" w:rsidR="00757D0F" w:rsidRPr="00436535" w:rsidRDefault="00757D0F" w:rsidP="00D900D9">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0MRFEI_NOALC</w:t>
            </w:r>
          </w:p>
        </w:tc>
        <w:tc>
          <w:tcPr>
            <w:tcW w:w="5788" w:type="dxa"/>
          </w:tcPr>
          <w:p w14:paraId="6EA28F57" w14:textId="02C153F2" w:rsidR="00757D0F" w:rsidRPr="00436535" w:rsidRDefault="00757D0F"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½ mile </w:t>
            </w:r>
            <w:r>
              <w:rPr>
                <w:rFonts w:cstheme="minorHAnsi"/>
                <w:sz w:val="20"/>
                <w:szCs w:val="20"/>
              </w:rPr>
              <w:t>simple</w:t>
            </w:r>
            <w:r w:rsidRPr="00436535">
              <w:rPr>
                <w:rFonts w:cstheme="minorHAnsi"/>
                <w:sz w:val="20"/>
                <w:szCs w:val="20"/>
              </w:rPr>
              <w:t xml:space="preserve"> density.  This is calculated from </w:t>
            </w:r>
            <w:r w:rsidR="000B635D">
              <w:rPr>
                <w:rFonts w:cstheme="minorHAnsi"/>
                <w:sz w:val="20"/>
                <w:szCs w:val="20"/>
              </w:rPr>
              <w:t>S</w:t>
            </w:r>
            <w:r w:rsidRPr="00436535">
              <w:rPr>
                <w:rFonts w:cstheme="minorHAnsi"/>
                <w:sz w:val="20"/>
                <w:szCs w:val="20"/>
              </w:rPr>
              <w:t>0FAV/(</w:t>
            </w:r>
            <w:r w:rsidR="000B635D">
              <w:rPr>
                <w:rFonts w:cstheme="minorHAnsi"/>
                <w:sz w:val="20"/>
                <w:szCs w:val="20"/>
              </w:rPr>
              <w:t>S</w:t>
            </w:r>
            <w:r w:rsidRPr="00436535">
              <w:rPr>
                <w:rFonts w:cstheme="minorHAnsi"/>
                <w:sz w:val="20"/>
                <w:szCs w:val="20"/>
              </w:rPr>
              <w:t>0FAV+</w:t>
            </w:r>
            <w:r w:rsidR="000B635D">
              <w:rPr>
                <w:rFonts w:cstheme="minorHAnsi"/>
                <w:sz w:val="20"/>
                <w:szCs w:val="20"/>
              </w:rPr>
              <w:t>S</w:t>
            </w:r>
            <w:r w:rsidRPr="00436535">
              <w:rPr>
                <w:rFonts w:cstheme="minorHAnsi"/>
                <w:sz w:val="20"/>
                <w:szCs w:val="20"/>
              </w:rPr>
              <w:t>0UNFAVFO).</w:t>
            </w:r>
          </w:p>
        </w:tc>
        <w:tc>
          <w:tcPr>
            <w:tcW w:w="1952" w:type="dxa"/>
          </w:tcPr>
          <w:p w14:paraId="6D61E6ED" w14:textId="6FB5DB88" w:rsidR="00757D0F" w:rsidRPr="00436535" w:rsidRDefault="00757D0F"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757D0F" w:rsidRPr="006E751A" w14:paraId="32E13C51" w14:textId="77777777" w:rsidTr="00604541">
        <w:tc>
          <w:tcPr>
            <w:tcW w:w="977" w:type="dxa"/>
          </w:tcPr>
          <w:p w14:paraId="59A7F56C" w14:textId="7A2F63EC"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90</w:t>
            </w:r>
          </w:p>
        </w:tc>
        <w:tc>
          <w:tcPr>
            <w:tcW w:w="1903" w:type="dxa"/>
          </w:tcPr>
          <w:p w14:paraId="1B7F067B" w14:textId="362B4D81" w:rsidR="00757D0F" w:rsidRPr="00436535" w:rsidRDefault="00757D0F" w:rsidP="00757D0F">
            <w:pPr>
              <w:tabs>
                <w:tab w:val="center" w:pos="6480"/>
              </w:tabs>
              <w:autoSpaceDE w:val="0"/>
              <w:autoSpaceDN w:val="0"/>
              <w:adjustRightInd w:val="0"/>
              <w:rPr>
                <w:rFonts w:cstheme="minorHAnsi"/>
                <w:sz w:val="20"/>
                <w:szCs w:val="20"/>
              </w:rPr>
            </w:pPr>
            <w:r>
              <w:rPr>
                <w:rFonts w:cs="SAS Monospace"/>
                <w:sz w:val="20"/>
                <w:szCs w:val="20"/>
              </w:rPr>
              <w:t>A_S0SCH</w:t>
            </w:r>
          </w:p>
        </w:tc>
        <w:tc>
          <w:tcPr>
            <w:tcW w:w="5788" w:type="dxa"/>
          </w:tcPr>
          <w:p w14:paraId="732852C7" w14:textId="41E74B0C" w:rsidR="00757D0F" w:rsidRPr="00436535"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CFCA20A" w14:textId="77777777" w:rsidR="00757D0F" w:rsidRPr="00436535" w:rsidRDefault="00757D0F" w:rsidP="004D40F9">
            <w:pPr>
              <w:pStyle w:val="ListParagraph"/>
              <w:ind w:left="0"/>
              <w:rPr>
                <w:rFonts w:cstheme="minorHAnsi"/>
                <w:sz w:val="20"/>
                <w:szCs w:val="20"/>
              </w:rPr>
            </w:pPr>
          </w:p>
        </w:tc>
      </w:tr>
      <w:tr w:rsidR="00757D0F" w:rsidRPr="006E751A" w14:paraId="7EB54233" w14:textId="77777777" w:rsidTr="00604541">
        <w:tc>
          <w:tcPr>
            <w:tcW w:w="977" w:type="dxa"/>
          </w:tcPr>
          <w:p w14:paraId="030CD498" w14:textId="07195F81"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91</w:t>
            </w:r>
          </w:p>
        </w:tc>
        <w:tc>
          <w:tcPr>
            <w:tcW w:w="1903" w:type="dxa"/>
          </w:tcPr>
          <w:p w14:paraId="1E4474A8" w14:textId="36491CC4"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A_S0SMALL</w:t>
            </w:r>
          </w:p>
        </w:tc>
        <w:tc>
          <w:tcPr>
            <w:tcW w:w="5788" w:type="dxa"/>
          </w:tcPr>
          <w:p w14:paraId="433C15AB" w14:textId="71AF5570"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73181A48" w14:textId="77777777" w:rsidR="00757D0F" w:rsidRPr="00436535" w:rsidRDefault="00757D0F" w:rsidP="004D40F9">
            <w:pPr>
              <w:pStyle w:val="ListParagraph"/>
              <w:ind w:left="0"/>
              <w:rPr>
                <w:rFonts w:cstheme="minorHAnsi"/>
                <w:sz w:val="20"/>
                <w:szCs w:val="20"/>
              </w:rPr>
            </w:pPr>
          </w:p>
        </w:tc>
      </w:tr>
      <w:tr w:rsidR="00757D0F" w:rsidRPr="006E751A" w14:paraId="4559D167" w14:textId="77777777" w:rsidTr="00604541">
        <w:tc>
          <w:tcPr>
            <w:tcW w:w="977" w:type="dxa"/>
          </w:tcPr>
          <w:p w14:paraId="5B61CB97" w14:textId="73719A9F"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92</w:t>
            </w:r>
          </w:p>
        </w:tc>
        <w:tc>
          <w:tcPr>
            <w:tcW w:w="1903" w:type="dxa"/>
          </w:tcPr>
          <w:p w14:paraId="51CC4D66" w14:textId="2DE148F2"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A_S0FFC</w:t>
            </w:r>
          </w:p>
        </w:tc>
        <w:tc>
          <w:tcPr>
            <w:tcW w:w="5788" w:type="dxa"/>
          </w:tcPr>
          <w:p w14:paraId="25C23153" w14:textId="0329E351"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5EB0CE1" w14:textId="77777777" w:rsidR="00757D0F" w:rsidRPr="00436535" w:rsidRDefault="00757D0F" w:rsidP="004D40F9">
            <w:pPr>
              <w:pStyle w:val="ListParagraph"/>
              <w:ind w:left="0"/>
              <w:rPr>
                <w:rFonts w:cstheme="minorHAnsi"/>
                <w:sz w:val="20"/>
                <w:szCs w:val="20"/>
              </w:rPr>
            </w:pPr>
          </w:p>
        </w:tc>
      </w:tr>
      <w:tr w:rsidR="00757D0F" w:rsidRPr="006E751A" w14:paraId="3D75EB86" w14:textId="77777777" w:rsidTr="00604541">
        <w:tc>
          <w:tcPr>
            <w:tcW w:w="977" w:type="dxa"/>
          </w:tcPr>
          <w:p w14:paraId="28108A85" w14:textId="6845BFE5"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93</w:t>
            </w:r>
          </w:p>
        </w:tc>
        <w:tc>
          <w:tcPr>
            <w:tcW w:w="1903" w:type="dxa"/>
          </w:tcPr>
          <w:p w14:paraId="1D9EE331" w14:textId="36B8392B"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A_S0FFALL</w:t>
            </w:r>
          </w:p>
        </w:tc>
        <w:tc>
          <w:tcPr>
            <w:tcW w:w="5788" w:type="dxa"/>
          </w:tcPr>
          <w:p w14:paraId="737E7E3A" w14:textId="6574E275"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chain+non-</w:t>
            </w:r>
            <w:r w:rsidRPr="00436535">
              <w:rPr>
                <w:rFonts w:cstheme="minorHAnsi"/>
                <w:sz w:val="20"/>
                <w:szCs w:val="20"/>
              </w:rPr>
              <w:lastRenderedPageBreak/>
              <w:t xml:space="preserve">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6BD7673" w14:textId="77777777" w:rsidR="00757D0F" w:rsidRPr="00436535" w:rsidRDefault="00757D0F" w:rsidP="004D40F9">
            <w:pPr>
              <w:pStyle w:val="ListParagraph"/>
              <w:ind w:left="0"/>
              <w:rPr>
                <w:rFonts w:cstheme="minorHAnsi"/>
                <w:sz w:val="20"/>
                <w:szCs w:val="20"/>
              </w:rPr>
            </w:pPr>
          </w:p>
        </w:tc>
      </w:tr>
      <w:tr w:rsidR="00757D0F" w:rsidRPr="006E751A" w14:paraId="185CE932" w14:textId="77777777" w:rsidTr="00604541">
        <w:tc>
          <w:tcPr>
            <w:tcW w:w="977" w:type="dxa"/>
          </w:tcPr>
          <w:p w14:paraId="79D6C31A" w14:textId="3A4AECE6"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lastRenderedPageBreak/>
              <w:t>94</w:t>
            </w:r>
          </w:p>
        </w:tc>
        <w:tc>
          <w:tcPr>
            <w:tcW w:w="1903" w:type="dxa"/>
          </w:tcPr>
          <w:p w14:paraId="3F07BE4C" w14:textId="5475E483"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A_S0LIQ</w:t>
            </w:r>
          </w:p>
        </w:tc>
        <w:tc>
          <w:tcPr>
            <w:tcW w:w="5788" w:type="dxa"/>
          </w:tcPr>
          <w:p w14:paraId="271C3B35" w14:textId="581332BD"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011832AE" w14:textId="77777777" w:rsidR="00757D0F" w:rsidRPr="00436535" w:rsidRDefault="00757D0F" w:rsidP="004D40F9">
            <w:pPr>
              <w:pStyle w:val="ListParagraph"/>
              <w:ind w:left="0"/>
              <w:rPr>
                <w:rFonts w:cstheme="minorHAnsi"/>
                <w:sz w:val="20"/>
                <w:szCs w:val="20"/>
              </w:rPr>
            </w:pPr>
          </w:p>
        </w:tc>
      </w:tr>
      <w:tr w:rsidR="00757D0F" w:rsidRPr="006E751A" w14:paraId="004BCC33" w14:textId="77777777" w:rsidTr="00604541">
        <w:tc>
          <w:tcPr>
            <w:tcW w:w="977" w:type="dxa"/>
          </w:tcPr>
          <w:p w14:paraId="159D387F" w14:textId="676EF723"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95</w:t>
            </w:r>
          </w:p>
        </w:tc>
        <w:tc>
          <w:tcPr>
            <w:tcW w:w="1903" w:type="dxa"/>
          </w:tcPr>
          <w:p w14:paraId="4B8D21D9" w14:textId="49CC50C7"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A_S0ALC</w:t>
            </w:r>
          </w:p>
        </w:tc>
        <w:tc>
          <w:tcPr>
            <w:tcW w:w="5788" w:type="dxa"/>
          </w:tcPr>
          <w:p w14:paraId="00586724" w14:textId="3BB0B6F5"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A79735E" w14:textId="77777777" w:rsidR="00757D0F" w:rsidRPr="00436535" w:rsidRDefault="00757D0F" w:rsidP="004D40F9">
            <w:pPr>
              <w:pStyle w:val="ListParagraph"/>
              <w:ind w:left="0"/>
              <w:rPr>
                <w:rFonts w:cstheme="minorHAnsi"/>
                <w:sz w:val="20"/>
                <w:szCs w:val="20"/>
              </w:rPr>
            </w:pPr>
          </w:p>
        </w:tc>
      </w:tr>
      <w:tr w:rsidR="00757D0F" w:rsidRPr="006E751A" w14:paraId="4A67F157" w14:textId="77777777" w:rsidTr="00604541">
        <w:tc>
          <w:tcPr>
            <w:tcW w:w="977" w:type="dxa"/>
          </w:tcPr>
          <w:p w14:paraId="48293998" w14:textId="270BF3C6"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96</w:t>
            </w:r>
          </w:p>
        </w:tc>
        <w:tc>
          <w:tcPr>
            <w:tcW w:w="1903" w:type="dxa"/>
          </w:tcPr>
          <w:p w14:paraId="70936797" w14:textId="3E43BE4E" w:rsidR="00757D0F" w:rsidRDefault="00757D0F" w:rsidP="00757D0F">
            <w:pPr>
              <w:tabs>
                <w:tab w:val="center" w:pos="6480"/>
              </w:tabs>
              <w:autoSpaceDE w:val="0"/>
              <w:autoSpaceDN w:val="0"/>
              <w:adjustRightInd w:val="0"/>
              <w:rPr>
                <w:rFonts w:cs="SAS Monospace"/>
                <w:sz w:val="20"/>
                <w:szCs w:val="20"/>
              </w:rPr>
            </w:pPr>
            <w:r>
              <w:rPr>
                <w:rFonts w:cs="SAS Monospace"/>
                <w:sz w:val="20"/>
                <w:szCs w:val="20"/>
              </w:rPr>
              <w:t>A_S0ALLALC</w:t>
            </w:r>
          </w:p>
        </w:tc>
        <w:tc>
          <w:tcPr>
            <w:tcW w:w="5788" w:type="dxa"/>
          </w:tcPr>
          <w:p w14:paraId="61F9F0DB" w14:textId="1A406714"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4C99FC11" w14:textId="77777777" w:rsidR="00757D0F" w:rsidRPr="00436535" w:rsidRDefault="00757D0F" w:rsidP="004D40F9">
            <w:pPr>
              <w:pStyle w:val="ListParagraph"/>
              <w:ind w:left="0"/>
              <w:rPr>
                <w:rFonts w:cstheme="minorHAnsi"/>
                <w:sz w:val="20"/>
                <w:szCs w:val="20"/>
              </w:rPr>
            </w:pPr>
          </w:p>
        </w:tc>
      </w:tr>
      <w:tr w:rsidR="00757D0F" w:rsidRPr="006E751A" w14:paraId="3BAD87F2" w14:textId="77777777" w:rsidTr="00604541">
        <w:tc>
          <w:tcPr>
            <w:tcW w:w="977" w:type="dxa"/>
          </w:tcPr>
          <w:p w14:paraId="31BD44D6" w14:textId="1093C8A7"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97</w:t>
            </w:r>
          </w:p>
        </w:tc>
        <w:tc>
          <w:tcPr>
            <w:tcW w:w="1903" w:type="dxa"/>
          </w:tcPr>
          <w:p w14:paraId="45069039" w14:textId="47E89246" w:rsidR="00757D0F" w:rsidRDefault="00757D0F" w:rsidP="00757D0F">
            <w:pPr>
              <w:tabs>
                <w:tab w:val="center" w:pos="6480"/>
              </w:tabs>
              <w:autoSpaceDE w:val="0"/>
              <w:autoSpaceDN w:val="0"/>
              <w:adjustRightInd w:val="0"/>
              <w:rPr>
                <w:rFonts w:cs="SAS Monospace"/>
                <w:sz w:val="20"/>
                <w:szCs w:val="20"/>
              </w:rPr>
            </w:pPr>
            <w:r>
              <w:rPr>
                <w:rFonts w:cstheme="minorHAnsi"/>
                <w:sz w:val="20"/>
                <w:szCs w:val="20"/>
              </w:rPr>
              <w:t>A_S</w:t>
            </w:r>
            <w:r w:rsidRPr="00436535">
              <w:rPr>
                <w:rFonts w:cstheme="minorHAnsi"/>
                <w:sz w:val="20"/>
                <w:szCs w:val="20"/>
              </w:rPr>
              <w:t>0FAV</w:t>
            </w:r>
          </w:p>
        </w:tc>
        <w:tc>
          <w:tcPr>
            <w:tcW w:w="5788" w:type="dxa"/>
          </w:tcPr>
          <w:p w14:paraId="27D7A350" w14:textId="499753B0"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16A10E47" w14:textId="77777777" w:rsidR="00757D0F" w:rsidRPr="00436535" w:rsidRDefault="00757D0F" w:rsidP="004D40F9">
            <w:pPr>
              <w:pStyle w:val="ListParagraph"/>
              <w:ind w:left="0"/>
              <w:rPr>
                <w:rFonts w:cstheme="minorHAnsi"/>
                <w:sz w:val="20"/>
                <w:szCs w:val="20"/>
              </w:rPr>
            </w:pPr>
          </w:p>
        </w:tc>
      </w:tr>
      <w:tr w:rsidR="00757D0F" w:rsidRPr="006E751A" w14:paraId="0557BB01" w14:textId="77777777" w:rsidTr="00604541">
        <w:tc>
          <w:tcPr>
            <w:tcW w:w="977" w:type="dxa"/>
          </w:tcPr>
          <w:p w14:paraId="037E24B8" w14:textId="10855A5B"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98</w:t>
            </w:r>
          </w:p>
        </w:tc>
        <w:tc>
          <w:tcPr>
            <w:tcW w:w="1903" w:type="dxa"/>
          </w:tcPr>
          <w:p w14:paraId="19536A82" w14:textId="40405C66"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0UNFAV</w:t>
            </w:r>
          </w:p>
        </w:tc>
        <w:tc>
          <w:tcPr>
            <w:tcW w:w="5788" w:type="dxa"/>
          </w:tcPr>
          <w:p w14:paraId="3029B187" w14:textId="06713BBF"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4A8C59A4" w14:textId="77777777" w:rsidR="00757D0F" w:rsidRPr="00436535" w:rsidRDefault="00757D0F" w:rsidP="004D40F9">
            <w:pPr>
              <w:pStyle w:val="ListParagraph"/>
              <w:ind w:left="0"/>
              <w:rPr>
                <w:rFonts w:cstheme="minorHAnsi"/>
                <w:sz w:val="20"/>
                <w:szCs w:val="20"/>
              </w:rPr>
            </w:pPr>
          </w:p>
        </w:tc>
      </w:tr>
      <w:tr w:rsidR="00757D0F" w:rsidRPr="006E751A" w14:paraId="0E2B0598" w14:textId="77777777" w:rsidTr="00604541">
        <w:tc>
          <w:tcPr>
            <w:tcW w:w="977" w:type="dxa"/>
          </w:tcPr>
          <w:p w14:paraId="768C73BB" w14:textId="66E80490"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99</w:t>
            </w:r>
          </w:p>
        </w:tc>
        <w:tc>
          <w:tcPr>
            <w:tcW w:w="1903" w:type="dxa"/>
          </w:tcPr>
          <w:p w14:paraId="0540B7DC" w14:textId="00258E26"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0UNFAVFO</w:t>
            </w:r>
          </w:p>
        </w:tc>
        <w:tc>
          <w:tcPr>
            <w:tcW w:w="5788" w:type="dxa"/>
          </w:tcPr>
          <w:p w14:paraId="1EDA2E31" w14:textId="56862E1B"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unfavorable food stores excluding alcohol.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332ADB47" w14:textId="77777777" w:rsidR="00757D0F" w:rsidRPr="00436535" w:rsidRDefault="00757D0F" w:rsidP="004D40F9">
            <w:pPr>
              <w:pStyle w:val="ListParagraph"/>
              <w:ind w:left="0"/>
              <w:rPr>
                <w:rFonts w:cstheme="minorHAnsi"/>
                <w:sz w:val="20"/>
                <w:szCs w:val="20"/>
              </w:rPr>
            </w:pPr>
          </w:p>
        </w:tc>
      </w:tr>
      <w:tr w:rsidR="00757D0F" w:rsidRPr="006E751A" w14:paraId="6608B8B7" w14:textId="77777777" w:rsidTr="00604541">
        <w:tc>
          <w:tcPr>
            <w:tcW w:w="977" w:type="dxa"/>
          </w:tcPr>
          <w:p w14:paraId="39FC0550" w14:textId="6E03E84B" w:rsidR="00757D0F" w:rsidRDefault="00757D0F" w:rsidP="009F1147">
            <w:pPr>
              <w:tabs>
                <w:tab w:val="center" w:pos="6480"/>
              </w:tabs>
              <w:autoSpaceDE w:val="0"/>
              <w:autoSpaceDN w:val="0"/>
              <w:adjustRightInd w:val="0"/>
              <w:rPr>
                <w:rFonts w:cs="SAS Monospace"/>
                <w:sz w:val="20"/>
                <w:szCs w:val="20"/>
              </w:rPr>
            </w:pPr>
            <w:r>
              <w:rPr>
                <w:rFonts w:cs="SAS Monospace"/>
                <w:sz w:val="20"/>
                <w:szCs w:val="20"/>
              </w:rPr>
              <w:t>100</w:t>
            </w:r>
          </w:p>
        </w:tc>
        <w:tc>
          <w:tcPr>
            <w:tcW w:w="1903" w:type="dxa"/>
          </w:tcPr>
          <w:p w14:paraId="14649B2B" w14:textId="3BCAFA28"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A_S0TOTFOOD</w:t>
            </w:r>
          </w:p>
        </w:tc>
        <w:tc>
          <w:tcPr>
            <w:tcW w:w="5788" w:type="dxa"/>
          </w:tcPr>
          <w:p w14:paraId="72A17093" w14:textId="4BAF8145" w:rsidR="00757D0F" w:rsidRDefault="00757D0F" w:rsidP="00757D0F">
            <w:pPr>
              <w:tabs>
                <w:tab w:val="center" w:pos="6480"/>
              </w:tabs>
              <w:autoSpaceDE w:val="0"/>
              <w:autoSpaceDN w:val="0"/>
              <w:adjustRightInd w:val="0"/>
              <w:rPr>
                <w:rFonts w:cstheme="minorHAnsi"/>
                <w:sz w:val="20"/>
                <w:szCs w:val="20"/>
              </w:rPr>
            </w:pPr>
            <w:r>
              <w:rPr>
                <w:rFonts w:cstheme="minorHAnsi"/>
                <w:sz w:val="20"/>
                <w:szCs w:val="20"/>
              </w:rPr>
              <w:t xml:space="preserve">Cumulative average of 1/2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36689AD5" w14:textId="77777777" w:rsidR="00757D0F" w:rsidRPr="00436535" w:rsidRDefault="00757D0F" w:rsidP="004D40F9">
            <w:pPr>
              <w:pStyle w:val="ListParagraph"/>
              <w:ind w:left="0"/>
              <w:rPr>
                <w:rFonts w:cstheme="minorHAnsi"/>
                <w:sz w:val="20"/>
                <w:szCs w:val="20"/>
              </w:rPr>
            </w:pPr>
          </w:p>
        </w:tc>
      </w:tr>
      <w:tr w:rsidR="00A8642A" w:rsidRPr="006E751A" w14:paraId="1A6CBA22" w14:textId="77777777" w:rsidTr="00604541">
        <w:tc>
          <w:tcPr>
            <w:tcW w:w="977" w:type="dxa"/>
          </w:tcPr>
          <w:p w14:paraId="0DDB525E" w14:textId="4D708DC6"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101</w:t>
            </w:r>
          </w:p>
        </w:tc>
        <w:tc>
          <w:tcPr>
            <w:tcW w:w="1903" w:type="dxa"/>
          </w:tcPr>
          <w:p w14:paraId="31F3A409" w14:textId="620911C8" w:rsidR="00A8642A" w:rsidRDefault="00A8642A" w:rsidP="00A8642A">
            <w:pPr>
              <w:tabs>
                <w:tab w:val="center" w:pos="6480"/>
              </w:tabs>
              <w:autoSpaceDE w:val="0"/>
              <w:autoSpaceDN w:val="0"/>
              <w:adjustRightInd w:val="0"/>
              <w:rPr>
                <w:rFonts w:cstheme="minorHAnsi"/>
                <w:sz w:val="20"/>
                <w:szCs w:val="20"/>
              </w:rPr>
            </w:pPr>
            <w:r>
              <w:rPr>
                <w:rFonts w:cs="SAS Monospace"/>
                <w:sz w:val="20"/>
                <w:szCs w:val="20"/>
              </w:rPr>
              <w:t>S1SCH</w:t>
            </w:r>
          </w:p>
        </w:tc>
        <w:tc>
          <w:tcPr>
            <w:tcW w:w="5788" w:type="dxa"/>
          </w:tcPr>
          <w:p w14:paraId="6AE8B679" w14:textId="329BCDBC" w:rsidR="00A8642A"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7CAD2B8D" w14:textId="77777777" w:rsidR="00A8642A" w:rsidRPr="00436535" w:rsidRDefault="00A8642A" w:rsidP="004D40F9">
            <w:pPr>
              <w:pStyle w:val="ListParagraph"/>
              <w:ind w:left="0"/>
              <w:rPr>
                <w:rFonts w:cstheme="minorHAnsi"/>
                <w:sz w:val="20"/>
                <w:szCs w:val="20"/>
              </w:rPr>
            </w:pPr>
          </w:p>
        </w:tc>
      </w:tr>
      <w:tr w:rsidR="00A8642A" w:rsidRPr="006E751A" w14:paraId="796177EF" w14:textId="77777777" w:rsidTr="00604541">
        <w:tc>
          <w:tcPr>
            <w:tcW w:w="977" w:type="dxa"/>
          </w:tcPr>
          <w:p w14:paraId="26F5454A" w14:textId="10141638"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102</w:t>
            </w:r>
          </w:p>
        </w:tc>
        <w:tc>
          <w:tcPr>
            <w:tcW w:w="1903" w:type="dxa"/>
          </w:tcPr>
          <w:p w14:paraId="2A6FFA3B" w14:textId="6F713FE9"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S1SMALL</w:t>
            </w:r>
          </w:p>
        </w:tc>
        <w:tc>
          <w:tcPr>
            <w:tcW w:w="5788" w:type="dxa"/>
          </w:tcPr>
          <w:p w14:paraId="24DF74D0" w14:textId="313DF7EE"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B911F10" w14:textId="77777777" w:rsidR="00A8642A" w:rsidRPr="00436535" w:rsidRDefault="00A8642A" w:rsidP="004D40F9">
            <w:pPr>
              <w:pStyle w:val="ListParagraph"/>
              <w:ind w:left="0"/>
              <w:rPr>
                <w:rFonts w:cstheme="minorHAnsi"/>
                <w:sz w:val="20"/>
                <w:szCs w:val="20"/>
              </w:rPr>
            </w:pPr>
          </w:p>
        </w:tc>
      </w:tr>
      <w:tr w:rsidR="00A8642A" w:rsidRPr="006E751A" w14:paraId="044A7FEA" w14:textId="77777777" w:rsidTr="00604541">
        <w:tc>
          <w:tcPr>
            <w:tcW w:w="977" w:type="dxa"/>
          </w:tcPr>
          <w:p w14:paraId="0EDA3A85" w14:textId="7EC78F50"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103</w:t>
            </w:r>
          </w:p>
        </w:tc>
        <w:tc>
          <w:tcPr>
            <w:tcW w:w="1903" w:type="dxa"/>
          </w:tcPr>
          <w:p w14:paraId="6503BD28" w14:textId="37BC20BB"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S1FFC</w:t>
            </w:r>
          </w:p>
        </w:tc>
        <w:tc>
          <w:tcPr>
            <w:tcW w:w="5788" w:type="dxa"/>
          </w:tcPr>
          <w:p w14:paraId="5B7C9440" w14:textId="0FF1466D"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5504A98" w14:textId="77777777" w:rsidR="00A8642A" w:rsidRPr="00436535" w:rsidRDefault="00A8642A" w:rsidP="004D40F9">
            <w:pPr>
              <w:pStyle w:val="ListParagraph"/>
              <w:ind w:left="0"/>
              <w:rPr>
                <w:rFonts w:cstheme="minorHAnsi"/>
                <w:sz w:val="20"/>
                <w:szCs w:val="20"/>
              </w:rPr>
            </w:pPr>
          </w:p>
        </w:tc>
      </w:tr>
      <w:tr w:rsidR="00A8642A" w:rsidRPr="006E751A" w14:paraId="4C42B6F9" w14:textId="77777777" w:rsidTr="00604541">
        <w:tc>
          <w:tcPr>
            <w:tcW w:w="977" w:type="dxa"/>
          </w:tcPr>
          <w:p w14:paraId="61752559" w14:textId="00DF6DBF"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104</w:t>
            </w:r>
          </w:p>
        </w:tc>
        <w:tc>
          <w:tcPr>
            <w:tcW w:w="1903" w:type="dxa"/>
          </w:tcPr>
          <w:p w14:paraId="6626AF08" w14:textId="10289BA3"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S1FFALL</w:t>
            </w:r>
          </w:p>
        </w:tc>
        <w:tc>
          <w:tcPr>
            <w:tcW w:w="5788" w:type="dxa"/>
          </w:tcPr>
          <w:p w14:paraId="7515AEBA" w14:textId="48A50732"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fast food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BDD1A31" w14:textId="77777777" w:rsidR="00A8642A" w:rsidRPr="00436535" w:rsidRDefault="00A8642A" w:rsidP="004D40F9">
            <w:pPr>
              <w:pStyle w:val="ListParagraph"/>
              <w:ind w:left="0"/>
              <w:rPr>
                <w:rFonts w:cstheme="minorHAnsi"/>
                <w:sz w:val="20"/>
                <w:szCs w:val="20"/>
              </w:rPr>
            </w:pPr>
          </w:p>
        </w:tc>
      </w:tr>
      <w:tr w:rsidR="00A8642A" w:rsidRPr="006E751A" w14:paraId="358E26AF" w14:textId="77777777" w:rsidTr="00604541">
        <w:tc>
          <w:tcPr>
            <w:tcW w:w="977" w:type="dxa"/>
          </w:tcPr>
          <w:p w14:paraId="6BA9A668" w14:textId="6A38D056"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105</w:t>
            </w:r>
          </w:p>
        </w:tc>
        <w:tc>
          <w:tcPr>
            <w:tcW w:w="1903" w:type="dxa"/>
          </w:tcPr>
          <w:p w14:paraId="6661C569" w14:textId="51D32010"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S1LIQ</w:t>
            </w:r>
          </w:p>
        </w:tc>
        <w:tc>
          <w:tcPr>
            <w:tcW w:w="5788" w:type="dxa"/>
          </w:tcPr>
          <w:p w14:paraId="4FDF410F" w14:textId="2FF800A5"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42CFB637" w14:textId="77777777" w:rsidR="00A8642A" w:rsidRPr="00436535" w:rsidRDefault="00A8642A" w:rsidP="004D40F9">
            <w:pPr>
              <w:pStyle w:val="ListParagraph"/>
              <w:ind w:left="0"/>
              <w:rPr>
                <w:rFonts w:cstheme="minorHAnsi"/>
                <w:sz w:val="20"/>
                <w:szCs w:val="20"/>
              </w:rPr>
            </w:pPr>
          </w:p>
        </w:tc>
      </w:tr>
      <w:tr w:rsidR="00A8642A" w:rsidRPr="006E751A" w14:paraId="0A8EC680" w14:textId="77777777" w:rsidTr="00604541">
        <w:tc>
          <w:tcPr>
            <w:tcW w:w="977" w:type="dxa"/>
          </w:tcPr>
          <w:p w14:paraId="04987A56" w14:textId="00A9C93A"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106</w:t>
            </w:r>
          </w:p>
        </w:tc>
        <w:tc>
          <w:tcPr>
            <w:tcW w:w="1903" w:type="dxa"/>
          </w:tcPr>
          <w:p w14:paraId="6899F441" w14:textId="729B86BD"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S1ALC</w:t>
            </w:r>
          </w:p>
        </w:tc>
        <w:tc>
          <w:tcPr>
            <w:tcW w:w="5788" w:type="dxa"/>
          </w:tcPr>
          <w:p w14:paraId="753C5899" w14:textId="62DB8631"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71FD082" w14:textId="77777777" w:rsidR="00A8642A" w:rsidRPr="00436535" w:rsidRDefault="00A8642A" w:rsidP="004D40F9">
            <w:pPr>
              <w:pStyle w:val="ListParagraph"/>
              <w:ind w:left="0"/>
              <w:rPr>
                <w:rFonts w:cstheme="minorHAnsi"/>
                <w:sz w:val="20"/>
                <w:szCs w:val="20"/>
              </w:rPr>
            </w:pPr>
          </w:p>
        </w:tc>
      </w:tr>
      <w:tr w:rsidR="00A8642A" w:rsidRPr="006E751A" w14:paraId="7F1A236B" w14:textId="77777777" w:rsidTr="00604541">
        <w:tc>
          <w:tcPr>
            <w:tcW w:w="977" w:type="dxa"/>
          </w:tcPr>
          <w:p w14:paraId="0109EE9B" w14:textId="536287AE"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107</w:t>
            </w:r>
          </w:p>
        </w:tc>
        <w:tc>
          <w:tcPr>
            <w:tcW w:w="1903" w:type="dxa"/>
          </w:tcPr>
          <w:p w14:paraId="75136415" w14:textId="2E4B1DB0"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S1ALLALC</w:t>
            </w:r>
          </w:p>
        </w:tc>
        <w:tc>
          <w:tcPr>
            <w:tcW w:w="5788" w:type="dxa"/>
          </w:tcPr>
          <w:p w14:paraId="03F3672E" w14:textId="3B9F19D4"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BC9FDCB" w14:textId="77777777" w:rsidR="00A8642A" w:rsidRPr="00436535" w:rsidRDefault="00A8642A" w:rsidP="004D40F9">
            <w:pPr>
              <w:pStyle w:val="ListParagraph"/>
              <w:ind w:left="0"/>
              <w:rPr>
                <w:rFonts w:cstheme="minorHAnsi"/>
                <w:sz w:val="20"/>
                <w:szCs w:val="20"/>
              </w:rPr>
            </w:pPr>
          </w:p>
        </w:tc>
      </w:tr>
      <w:tr w:rsidR="00A8642A" w:rsidRPr="006E751A" w14:paraId="11FA8D0E" w14:textId="77777777" w:rsidTr="00604541">
        <w:tc>
          <w:tcPr>
            <w:tcW w:w="977" w:type="dxa"/>
          </w:tcPr>
          <w:p w14:paraId="1DF9A10A" w14:textId="66272E44"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108</w:t>
            </w:r>
          </w:p>
        </w:tc>
        <w:tc>
          <w:tcPr>
            <w:tcW w:w="1903" w:type="dxa"/>
          </w:tcPr>
          <w:p w14:paraId="0CA3CE02" w14:textId="5730270E" w:rsidR="00A8642A" w:rsidRDefault="00A8642A" w:rsidP="00A8642A">
            <w:pPr>
              <w:tabs>
                <w:tab w:val="center" w:pos="6480"/>
              </w:tabs>
              <w:autoSpaceDE w:val="0"/>
              <w:autoSpaceDN w:val="0"/>
              <w:adjustRightInd w:val="0"/>
              <w:rPr>
                <w:rFonts w:cs="SAS Monospace"/>
                <w:sz w:val="20"/>
                <w:szCs w:val="20"/>
              </w:rPr>
            </w:pPr>
            <w:r>
              <w:rPr>
                <w:rFonts w:cstheme="minorHAnsi"/>
                <w:sz w:val="20"/>
                <w:szCs w:val="20"/>
              </w:rPr>
              <w:t>S1</w:t>
            </w:r>
            <w:r w:rsidRPr="00436535">
              <w:rPr>
                <w:rFonts w:cstheme="minorHAnsi"/>
                <w:sz w:val="20"/>
                <w:szCs w:val="20"/>
              </w:rPr>
              <w:t>FAV</w:t>
            </w:r>
          </w:p>
        </w:tc>
        <w:tc>
          <w:tcPr>
            <w:tcW w:w="5788" w:type="dxa"/>
          </w:tcPr>
          <w:p w14:paraId="0322E03F" w14:textId="45657944" w:rsidR="00A8642A"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6C01893B" w14:textId="77777777" w:rsidR="00A8642A" w:rsidRPr="00436535" w:rsidRDefault="00A8642A" w:rsidP="004D40F9">
            <w:pPr>
              <w:pStyle w:val="ListParagraph"/>
              <w:ind w:left="0"/>
              <w:rPr>
                <w:rFonts w:cstheme="minorHAnsi"/>
                <w:sz w:val="20"/>
                <w:szCs w:val="20"/>
              </w:rPr>
            </w:pPr>
          </w:p>
        </w:tc>
      </w:tr>
      <w:tr w:rsidR="00A8642A" w:rsidRPr="006E751A" w14:paraId="74A12F50" w14:textId="77777777" w:rsidTr="00604541">
        <w:tc>
          <w:tcPr>
            <w:tcW w:w="977" w:type="dxa"/>
          </w:tcPr>
          <w:p w14:paraId="216E4FC0" w14:textId="60E9F93F"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109</w:t>
            </w:r>
          </w:p>
        </w:tc>
        <w:tc>
          <w:tcPr>
            <w:tcW w:w="1903" w:type="dxa"/>
          </w:tcPr>
          <w:p w14:paraId="1FF64C39" w14:textId="7C29A98B"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S1</w:t>
            </w:r>
            <w:r w:rsidRPr="00436535">
              <w:rPr>
                <w:rFonts w:cstheme="minorHAnsi"/>
                <w:sz w:val="20"/>
                <w:szCs w:val="20"/>
              </w:rPr>
              <w:t>UNFAV</w:t>
            </w:r>
          </w:p>
        </w:tc>
        <w:tc>
          <w:tcPr>
            <w:tcW w:w="5788" w:type="dxa"/>
          </w:tcPr>
          <w:p w14:paraId="46D6E785" w14:textId="51A396EE"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D7CB7BA" w14:textId="77777777" w:rsidR="00A8642A" w:rsidRPr="00436535" w:rsidRDefault="00A8642A" w:rsidP="004D40F9">
            <w:pPr>
              <w:pStyle w:val="ListParagraph"/>
              <w:ind w:left="0"/>
              <w:rPr>
                <w:rFonts w:cstheme="minorHAnsi"/>
                <w:sz w:val="20"/>
                <w:szCs w:val="20"/>
              </w:rPr>
            </w:pPr>
          </w:p>
        </w:tc>
      </w:tr>
      <w:tr w:rsidR="00A8642A" w:rsidRPr="006E751A" w14:paraId="4919EC7D" w14:textId="77777777" w:rsidTr="00604541">
        <w:tc>
          <w:tcPr>
            <w:tcW w:w="977" w:type="dxa"/>
          </w:tcPr>
          <w:p w14:paraId="42794835" w14:textId="0B0BD409"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110</w:t>
            </w:r>
          </w:p>
        </w:tc>
        <w:tc>
          <w:tcPr>
            <w:tcW w:w="1903" w:type="dxa"/>
          </w:tcPr>
          <w:p w14:paraId="41D3F39E" w14:textId="210EA383"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S1</w:t>
            </w:r>
            <w:r w:rsidRPr="00436535">
              <w:rPr>
                <w:rFonts w:cstheme="minorHAnsi"/>
                <w:sz w:val="20"/>
                <w:szCs w:val="20"/>
              </w:rPr>
              <w:t>UNFAVFO</w:t>
            </w:r>
          </w:p>
        </w:tc>
        <w:tc>
          <w:tcPr>
            <w:tcW w:w="5788" w:type="dxa"/>
          </w:tcPr>
          <w:p w14:paraId="7B35D07B" w14:textId="254956EE" w:rsidR="00A8642A" w:rsidRPr="00436535" w:rsidRDefault="00A8642A" w:rsidP="00A8642A">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unfavorable food stores excluding alcohol.  </w:t>
            </w:r>
            <w:r w:rsidRPr="00436535">
              <w:rPr>
                <w:rFonts w:cstheme="minorHAnsi"/>
                <w:sz w:val="20"/>
                <w:szCs w:val="20"/>
              </w:rPr>
              <w:lastRenderedPageBreak/>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5A8C07F3" w14:textId="77777777" w:rsidR="00A8642A" w:rsidRPr="00436535" w:rsidRDefault="00A8642A" w:rsidP="004D40F9">
            <w:pPr>
              <w:pStyle w:val="ListParagraph"/>
              <w:ind w:left="0"/>
              <w:rPr>
                <w:rFonts w:cstheme="minorHAnsi"/>
                <w:sz w:val="20"/>
                <w:szCs w:val="20"/>
              </w:rPr>
            </w:pPr>
          </w:p>
        </w:tc>
      </w:tr>
      <w:tr w:rsidR="00A8642A" w:rsidRPr="006E751A" w14:paraId="356B9602" w14:textId="77777777" w:rsidTr="00604541">
        <w:tc>
          <w:tcPr>
            <w:tcW w:w="977" w:type="dxa"/>
          </w:tcPr>
          <w:p w14:paraId="12977D54" w14:textId="5FD21131"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lastRenderedPageBreak/>
              <w:t>111</w:t>
            </w:r>
          </w:p>
        </w:tc>
        <w:tc>
          <w:tcPr>
            <w:tcW w:w="1903" w:type="dxa"/>
          </w:tcPr>
          <w:p w14:paraId="58AFA876" w14:textId="0998C1B4"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S1TOTFOOD</w:t>
            </w:r>
          </w:p>
        </w:tc>
        <w:tc>
          <w:tcPr>
            <w:tcW w:w="5788" w:type="dxa"/>
          </w:tcPr>
          <w:p w14:paraId="65DEAE1D" w14:textId="1F7BF55E"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1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2ACA7EB4" w14:textId="77777777" w:rsidR="00A8642A" w:rsidRPr="00436535" w:rsidRDefault="00A8642A" w:rsidP="004D40F9">
            <w:pPr>
              <w:pStyle w:val="ListParagraph"/>
              <w:ind w:left="0"/>
              <w:rPr>
                <w:rFonts w:cstheme="minorHAnsi"/>
                <w:sz w:val="20"/>
                <w:szCs w:val="20"/>
              </w:rPr>
            </w:pPr>
          </w:p>
        </w:tc>
      </w:tr>
      <w:tr w:rsidR="00A8642A" w:rsidRPr="006E751A" w14:paraId="61AD7F93" w14:textId="77777777" w:rsidTr="00604541">
        <w:tc>
          <w:tcPr>
            <w:tcW w:w="977" w:type="dxa"/>
          </w:tcPr>
          <w:p w14:paraId="22E8513A" w14:textId="18EA8049"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112</w:t>
            </w:r>
          </w:p>
        </w:tc>
        <w:tc>
          <w:tcPr>
            <w:tcW w:w="1903" w:type="dxa"/>
          </w:tcPr>
          <w:p w14:paraId="4580D60B" w14:textId="444BD6AE"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S1</w:t>
            </w:r>
            <w:r w:rsidRPr="00436535">
              <w:rPr>
                <w:rFonts w:cstheme="minorHAnsi"/>
                <w:sz w:val="20"/>
                <w:szCs w:val="20"/>
              </w:rPr>
              <w:t>MRFEI_TOT</w:t>
            </w:r>
          </w:p>
        </w:tc>
        <w:tc>
          <w:tcPr>
            <w:tcW w:w="5788" w:type="dxa"/>
          </w:tcPr>
          <w:p w14:paraId="7AA031C5" w14:textId="674571E1" w:rsidR="00A8642A" w:rsidRDefault="00A8642A"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w:t>
            </w:r>
            <w:r>
              <w:rPr>
                <w:rFonts w:cstheme="minorHAnsi"/>
                <w:sz w:val="20"/>
                <w:szCs w:val="20"/>
              </w:rPr>
              <w:t>1</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This is calculated from </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UNFAV).</w:t>
            </w:r>
          </w:p>
        </w:tc>
        <w:tc>
          <w:tcPr>
            <w:tcW w:w="1952" w:type="dxa"/>
          </w:tcPr>
          <w:p w14:paraId="6EA2413C" w14:textId="21C540DA" w:rsidR="00A8642A" w:rsidRPr="00436535" w:rsidRDefault="00A8642A"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A8642A" w:rsidRPr="006E751A" w14:paraId="2E83ED41" w14:textId="77777777" w:rsidTr="00604541">
        <w:tc>
          <w:tcPr>
            <w:tcW w:w="977" w:type="dxa"/>
          </w:tcPr>
          <w:p w14:paraId="3109937A" w14:textId="7748312E"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113</w:t>
            </w:r>
          </w:p>
        </w:tc>
        <w:tc>
          <w:tcPr>
            <w:tcW w:w="1903" w:type="dxa"/>
          </w:tcPr>
          <w:p w14:paraId="576B6A10" w14:textId="2C77A535"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S1</w:t>
            </w:r>
            <w:r w:rsidRPr="00436535">
              <w:rPr>
                <w:rFonts w:cstheme="minorHAnsi"/>
                <w:sz w:val="20"/>
                <w:szCs w:val="20"/>
              </w:rPr>
              <w:t>MRFEI_NOALC</w:t>
            </w:r>
          </w:p>
        </w:tc>
        <w:tc>
          <w:tcPr>
            <w:tcW w:w="5788" w:type="dxa"/>
          </w:tcPr>
          <w:p w14:paraId="4ED0D13C" w14:textId="2227B51B" w:rsidR="00A8642A" w:rsidRPr="00436535" w:rsidRDefault="00A8642A"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w:t>
            </w: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This is calculated from </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FAV+</w:t>
            </w:r>
            <w:r w:rsidR="000B635D">
              <w:rPr>
                <w:rFonts w:cstheme="minorHAnsi"/>
                <w:sz w:val="20"/>
                <w:szCs w:val="20"/>
              </w:rPr>
              <w:t>S1</w:t>
            </w:r>
            <w:r w:rsidRPr="00436535">
              <w:rPr>
                <w:rFonts w:cstheme="minorHAnsi"/>
                <w:sz w:val="20"/>
                <w:szCs w:val="20"/>
              </w:rPr>
              <w:t>UNFAVFO).</w:t>
            </w:r>
          </w:p>
        </w:tc>
        <w:tc>
          <w:tcPr>
            <w:tcW w:w="1952" w:type="dxa"/>
          </w:tcPr>
          <w:p w14:paraId="3BF7DA71" w14:textId="2C2CC1AF" w:rsidR="00A8642A" w:rsidRPr="00436535" w:rsidRDefault="00A8642A"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A8642A" w:rsidRPr="006E751A" w14:paraId="0F8DB83A" w14:textId="77777777" w:rsidTr="00604541">
        <w:tc>
          <w:tcPr>
            <w:tcW w:w="977" w:type="dxa"/>
          </w:tcPr>
          <w:p w14:paraId="00B38ECC" w14:textId="2793A88D"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114</w:t>
            </w:r>
          </w:p>
        </w:tc>
        <w:tc>
          <w:tcPr>
            <w:tcW w:w="1903" w:type="dxa"/>
          </w:tcPr>
          <w:p w14:paraId="0379E3E8" w14:textId="0509AD7C" w:rsidR="00A8642A" w:rsidRDefault="00A8642A" w:rsidP="00A8642A">
            <w:pPr>
              <w:tabs>
                <w:tab w:val="center" w:pos="6480"/>
              </w:tabs>
              <w:autoSpaceDE w:val="0"/>
              <w:autoSpaceDN w:val="0"/>
              <w:adjustRightInd w:val="0"/>
              <w:rPr>
                <w:rFonts w:cstheme="minorHAnsi"/>
                <w:sz w:val="20"/>
                <w:szCs w:val="20"/>
              </w:rPr>
            </w:pPr>
            <w:r>
              <w:rPr>
                <w:rFonts w:cs="SAS Monospace"/>
                <w:sz w:val="20"/>
                <w:szCs w:val="20"/>
              </w:rPr>
              <w:t>A_S1SCH</w:t>
            </w:r>
          </w:p>
        </w:tc>
        <w:tc>
          <w:tcPr>
            <w:tcW w:w="5788" w:type="dxa"/>
          </w:tcPr>
          <w:p w14:paraId="7628ECCF" w14:textId="201E50AB"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1B11A904" w14:textId="77777777" w:rsidR="00A8642A" w:rsidRPr="00436535" w:rsidRDefault="00A8642A" w:rsidP="004D40F9">
            <w:pPr>
              <w:pStyle w:val="ListParagraph"/>
              <w:ind w:left="0"/>
              <w:rPr>
                <w:rFonts w:cstheme="minorHAnsi"/>
                <w:sz w:val="20"/>
                <w:szCs w:val="20"/>
              </w:rPr>
            </w:pPr>
          </w:p>
        </w:tc>
      </w:tr>
      <w:tr w:rsidR="00A8642A" w:rsidRPr="006E751A" w14:paraId="65AAF2AD" w14:textId="77777777" w:rsidTr="00604541">
        <w:tc>
          <w:tcPr>
            <w:tcW w:w="977" w:type="dxa"/>
          </w:tcPr>
          <w:p w14:paraId="7084C1FD" w14:textId="66B5DFD8"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115</w:t>
            </w:r>
          </w:p>
        </w:tc>
        <w:tc>
          <w:tcPr>
            <w:tcW w:w="1903" w:type="dxa"/>
          </w:tcPr>
          <w:p w14:paraId="301307B7" w14:textId="5F512F9C"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A_S1SMALL</w:t>
            </w:r>
          </w:p>
        </w:tc>
        <w:tc>
          <w:tcPr>
            <w:tcW w:w="5788" w:type="dxa"/>
          </w:tcPr>
          <w:p w14:paraId="651BB43F" w14:textId="46096A7D"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72DEBAA3" w14:textId="77777777" w:rsidR="00A8642A" w:rsidRPr="00436535" w:rsidRDefault="00A8642A" w:rsidP="004D40F9">
            <w:pPr>
              <w:pStyle w:val="ListParagraph"/>
              <w:ind w:left="0"/>
              <w:rPr>
                <w:rFonts w:cstheme="minorHAnsi"/>
                <w:sz w:val="20"/>
                <w:szCs w:val="20"/>
              </w:rPr>
            </w:pPr>
          </w:p>
        </w:tc>
      </w:tr>
      <w:tr w:rsidR="00A8642A" w:rsidRPr="006E751A" w14:paraId="63B4F2A2" w14:textId="77777777" w:rsidTr="00604541">
        <w:tc>
          <w:tcPr>
            <w:tcW w:w="977" w:type="dxa"/>
          </w:tcPr>
          <w:p w14:paraId="04A9C203" w14:textId="6A594B44"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116</w:t>
            </w:r>
          </w:p>
        </w:tc>
        <w:tc>
          <w:tcPr>
            <w:tcW w:w="1903" w:type="dxa"/>
          </w:tcPr>
          <w:p w14:paraId="7F84B0E5" w14:textId="489C4B0A"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A_S1FFC</w:t>
            </w:r>
          </w:p>
        </w:tc>
        <w:tc>
          <w:tcPr>
            <w:tcW w:w="5788" w:type="dxa"/>
          </w:tcPr>
          <w:p w14:paraId="20835028" w14:textId="72472A5A"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8A6D7E2" w14:textId="77777777" w:rsidR="00A8642A" w:rsidRPr="00436535" w:rsidRDefault="00A8642A" w:rsidP="004D40F9">
            <w:pPr>
              <w:pStyle w:val="ListParagraph"/>
              <w:ind w:left="0"/>
              <w:rPr>
                <w:rFonts w:cstheme="minorHAnsi"/>
                <w:sz w:val="20"/>
                <w:szCs w:val="20"/>
              </w:rPr>
            </w:pPr>
          </w:p>
        </w:tc>
      </w:tr>
      <w:tr w:rsidR="00A8642A" w:rsidRPr="006E751A" w14:paraId="3CEC66F9" w14:textId="77777777" w:rsidTr="00604541">
        <w:tc>
          <w:tcPr>
            <w:tcW w:w="977" w:type="dxa"/>
          </w:tcPr>
          <w:p w14:paraId="01A851D8" w14:textId="7EA95BD2"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117</w:t>
            </w:r>
          </w:p>
        </w:tc>
        <w:tc>
          <w:tcPr>
            <w:tcW w:w="1903" w:type="dxa"/>
          </w:tcPr>
          <w:p w14:paraId="31588C6F" w14:textId="2EF79088"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A_S1FFALL</w:t>
            </w:r>
          </w:p>
        </w:tc>
        <w:tc>
          <w:tcPr>
            <w:tcW w:w="5788" w:type="dxa"/>
          </w:tcPr>
          <w:p w14:paraId="2D10444F" w14:textId="2F30C2F2"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41962B3" w14:textId="77777777" w:rsidR="00A8642A" w:rsidRPr="00436535" w:rsidRDefault="00A8642A" w:rsidP="004D40F9">
            <w:pPr>
              <w:pStyle w:val="ListParagraph"/>
              <w:ind w:left="0"/>
              <w:rPr>
                <w:rFonts w:cstheme="minorHAnsi"/>
                <w:sz w:val="20"/>
                <w:szCs w:val="20"/>
              </w:rPr>
            </w:pPr>
          </w:p>
        </w:tc>
      </w:tr>
      <w:tr w:rsidR="00A8642A" w:rsidRPr="006E751A" w14:paraId="4240E360" w14:textId="77777777" w:rsidTr="00604541">
        <w:tc>
          <w:tcPr>
            <w:tcW w:w="977" w:type="dxa"/>
          </w:tcPr>
          <w:p w14:paraId="4CA320F2" w14:textId="42348B9D"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118</w:t>
            </w:r>
          </w:p>
        </w:tc>
        <w:tc>
          <w:tcPr>
            <w:tcW w:w="1903" w:type="dxa"/>
          </w:tcPr>
          <w:p w14:paraId="2933D38F" w14:textId="6A707956"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A_S1LIQ</w:t>
            </w:r>
          </w:p>
        </w:tc>
        <w:tc>
          <w:tcPr>
            <w:tcW w:w="5788" w:type="dxa"/>
          </w:tcPr>
          <w:p w14:paraId="4447E127" w14:textId="7CB38851"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14956498" w14:textId="77777777" w:rsidR="00A8642A" w:rsidRPr="00436535" w:rsidRDefault="00A8642A" w:rsidP="004D40F9">
            <w:pPr>
              <w:pStyle w:val="ListParagraph"/>
              <w:ind w:left="0"/>
              <w:rPr>
                <w:rFonts w:cstheme="minorHAnsi"/>
                <w:sz w:val="20"/>
                <w:szCs w:val="20"/>
              </w:rPr>
            </w:pPr>
          </w:p>
        </w:tc>
      </w:tr>
      <w:tr w:rsidR="00A8642A" w:rsidRPr="006E751A" w14:paraId="722CABCA" w14:textId="77777777" w:rsidTr="00604541">
        <w:tc>
          <w:tcPr>
            <w:tcW w:w="977" w:type="dxa"/>
          </w:tcPr>
          <w:p w14:paraId="753CB291" w14:textId="74DCD754"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119</w:t>
            </w:r>
          </w:p>
        </w:tc>
        <w:tc>
          <w:tcPr>
            <w:tcW w:w="1903" w:type="dxa"/>
          </w:tcPr>
          <w:p w14:paraId="349B64CE" w14:textId="77EBC077"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A_S1ALC</w:t>
            </w:r>
          </w:p>
        </w:tc>
        <w:tc>
          <w:tcPr>
            <w:tcW w:w="5788" w:type="dxa"/>
          </w:tcPr>
          <w:p w14:paraId="4876FD8A" w14:textId="0E81736E"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17E974A5" w14:textId="77777777" w:rsidR="00A8642A" w:rsidRPr="00436535" w:rsidRDefault="00A8642A" w:rsidP="004D40F9">
            <w:pPr>
              <w:pStyle w:val="ListParagraph"/>
              <w:ind w:left="0"/>
              <w:rPr>
                <w:rFonts w:cstheme="minorHAnsi"/>
                <w:sz w:val="20"/>
                <w:szCs w:val="20"/>
              </w:rPr>
            </w:pPr>
          </w:p>
        </w:tc>
      </w:tr>
      <w:tr w:rsidR="00A8642A" w:rsidRPr="006E751A" w14:paraId="4EBD154C" w14:textId="77777777" w:rsidTr="00604541">
        <w:tc>
          <w:tcPr>
            <w:tcW w:w="977" w:type="dxa"/>
          </w:tcPr>
          <w:p w14:paraId="59B3798D" w14:textId="573DB4CA"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120</w:t>
            </w:r>
          </w:p>
        </w:tc>
        <w:tc>
          <w:tcPr>
            <w:tcW w:w="1903" w:type="dxa"/>
          </w:tcPr>
          <w:p w14:paraId="554B0544" w14:textId="2A438879"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A_S1ALLALC</w:t>
            </w:r>
          </w:p>
        </w:tc>
        <w:tc>
          <w:tcPr>
            <w:tcW w:w="5788" w:type="dxa"/>
          </w:tcPr>
          <w:p w14:paraId="3A15E2E3" w14:textId="1735FAEF"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74ADE87E" w14:textId="77777777" w:rsidR="00A8642A" w:rsidRPr="00436535" w:rsidRDefault="00A8642A" w:rsidP="004D40F9">
            <w:pPr>
              <w:pStyle w:val="ListParagraph"/>
              <w:ind w:left="0"/>
              <w:rPr>
                <w:rFonts w:cstheme="minorHAnsi"/>
                <w:sz w:val="20"/>
                <w:szCs w:val="20"/>
              </w:rPr>
            </w:pPr>
          </w:p>
        </w:tc>
      </w:tr>
      <w:tr w:rsidR="00A8642A" w:rsidRPr="006E751A" w14:paraId="075CD507" w14:textId="77777777" w:rsidTr="00604541">
        <w:tc>
          <w:tcPr>
            <w:tcW w:w="977" w:type="dxa"/>
          </w:tcPr>
          <w:p w14:paraId="733F075F" w14:textId="754D8C36"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121</w:t>
            </w:r>
          </w:p>
        </w:tc>
        <w:tc>
          <w:tcPr>
            <w:tcW w:w="1903" w:type="dxa"/>
          </w:tcPr>
          <w:p w14:paraId="540AB654" w14:textId="7BD74B5E" w:rsidR="00A8642A" w:rsidRDefault="00A8642A" w:rsidP="00A8642A">
            <w:pPr>
              <w:tabs>
                <w:tab w:val="center" w:pos="6480"/>
              </w:tabs>
              <w:autoSpaceDE w:val="0"/>
              <w:autoSpaceDN w:val="0"/>
              <w:adjustRightInd w:val="0"/>
              <w:rPr>
                <w:rFonts w:cs="SAS Monospace"/>
                <w:sz w:val="20"/>
                <w:szCs w:val="20"/>
              </w:rPr>
            </w:pPr>
            <w:r>
              <w:rPr>
                <w:rFonts w:cstheme="minorHAnsi"/>
                <w:sz w:val="20"/>
                <w:szCs w:val="20"/>
              </w:rPr>
              <w:t>A_S1</w:t>
            </w:r>
            <w:r w:rsidRPr="00436535">
              <w:rPr>
                <w:rFonts w:cstheme="minorHAnsi"/>
                <w:sz w:val="20"/>
                <w:szCs w:val="20"/>
              </w:rPr>
              <w:t>FAV</w:t>
            </w:r>
          </w:p>
        </w:tc>
        <w:tc>
          <w:tcPr>
            <w:tcW w:w="5788" w:type="dxa"/>
          </w:tcPr>
          <w:p w14:paraId="3A01A73B" w14:textId="0CE8709A"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6C795FCB" w14:textId="77777777" w:rsidR="00A8642A" w:rsidRPr="00436535" w:rsidRDefault="00A8642A" w:rsidP="004D40F9">
            <w:pPr>
              <w:pStyle w:val="ListParagraph"/>
              <w:ind w:left="0"/>
              <w:rPr>
                <w:rFonts w:cstheme="minorHAnsi"/>
                <w:sz w:val="20"/>
                <w:szCs w:val="20"/>
              </w:rPr>
            </w:pPr>
          </w:p>
        </w:tc>
      </w:tr>
      <w:tr w:rsidR="00A8642A" w:rsidRPr="006E751A" w14:paraId="79FEA08D" w14:textId="77777777" w:rsidTr="00604541">
        <w:tc>
          <w:tcPr>
            <w:tcW w:w="977" w:type="dxa"/>
          </w:tcPr>
          <w:p w14:paraId="56162A1F" w14:textId="3B08E3DC"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122</w:t>
            </w:r>
          </w:p>
        </w:tc>
        <w:tc>
          <w:tcPr>
            <w:tcW w:w="1903" w:type="dxa"/>
          </w:tcPr>
          <w:p w14:paraId="2B5AD2A3" w14:textId="0D7344F2"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A_S1</w:t>
            </w:r>
            <w:r w:rsidRPr="00436535">
              <w:rPr>
                <w:rFonts w:cstheme="minorHAnsi"/>
                <w:sz w:val="20"/>
                <w:szCs w:val="20"/>
              </w:rPr>
              <w:t>UNFAV</w:t>
            </w:r>
          </w:p>
        </w:tc>
        <w:tc>
          <w:tcPr>
            <w:tcW w:w="5788" w:type="dxa"/>
          </w:tcPr>
          <w:p w14:paraId="564F75DB" w14:textId="4C348C40"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416926B4" w14:textId="77777777" w:rsidR="00A8642A" w:rsidRPr="00436535" w:rsidRDefault="00A8642A" w:rsidP="004D40F9">
            <w:pPr>
              <w:pStyle w:val="ListParagraph"/>
              <w:ind w:left="0"/>
              <w:rPr>
                <w:rFonts w:cstheme="minorHAnsi"/>
                <w:sz w:val="20"/>
                <w:szCs w:val="20"/>
              </w:rPr>
            </w:pPr>
          </w:p>
        </w:tc>
      </w:tr>
      <w:tr w:rsidR="00A8642A" w:rsidRPr="006E751A" w14:paraId="2AF50EBB" w14:textId="77777777" w:rsidTr="00604541">
        <w:tc>
          <w:tcPr>
            <w:tcW w:w="977" w:type="dxa"/>
          </w:tcPr>
          <w:p w14:paraId="518B9E81" w14:textId="5F1A4C81"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123</w:t>
            </w:r>
          </w:p>
        </w:tc>
        <w:tc>
          <w:tcPr>
            <w:tcW w:w="1903" w:type="dxa"/>
          </w:tcPr>
          <w:p w14:paraId="744C9320" w14:textId="1A28ABB1"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A_S1</w:t>
            </w:r>
            <w:r w:rsidRPr="00436535">
              <w:rPr>
                <w:rFonts w:cstheme="minorHAnsi"/>
                <w:sz w:val="20"/>
                <w:szCs w:val="20"/>
              </w:rPr>
              <w:t>UNFAVFO</w:t>
            </w:r>
          </w:p>
        </w:tc>
        <w:tc>
          <w:tcPr>
            <w:tcW w:w="5788" w:type="dxa"/>
          </w:tcPr>
          <w:p w14:paraId="38B531C7" w14:textId="16F557F5"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unfavorable food stores excluding alcohol.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1A438293" w14:textId="77777777" w:rsidR="00A8642A" w:rsidRPr="00436535" w:rsidRDefault="00A8642A" w:rsidP="004D40F9">
            <w:pPr>
              <w:pStyle w:val="ListParagraph"/>
              <w:ind w:left="0"/>
              <w:rPr>
                <w:rFonts w:cstheme="minorHAnsi"/>
                <w:sz w:val="20"/>
                <w:szCs w:val="20"/>
              </w:rPr>
            </w:pPr>
          </w:p>
        </w:tc>
      </w:tr>
      <w:tr w:rsidR="00A8642A" w:rsidRPr="006E751A" w14:paraId="355EBA22" w14:textId="77777777" w:rsidTr="00604541">
        <w:tc>
          <w:tcPr>
            <w:tcW w:w="977" w:type="dxa"/>
          </w:tcPr>
          <w:p w14:paraId="57214E2E" w14:textId="0EF5EC0C"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124</w:t>
            </w:r>
          </w:p>
        </w:tc>
        <w:tc>
          <w:tcPr>
            <w:tcW w:w="1903" w:type="dxa"/>
          </w:tcPr>
          <w:p w14:paraId="33C10E8F" w14:textId="254F6C7C"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A_S1TOTFOOD</w:t>
            </w:r>
          </w:p>
        </w:tc>
        <w:tc>
          <w:tcPr>
            <w:tcW w:w="5788" w:type="dxa"/>
          </w:tcPr>
          <w:p w14:paraId="1058413E" w14:textId="5D3C0A46"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1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24CBB154" w14:textId="77777777" w:rsidR="00A8642A" w:rsidRPr="00436535" w:rsidRDefault="00A8642A" w:rsidP="004D40F9">
            <w:pPr>
              <w:pStyle w:val="ListParagraph"/>
              <w:ind w:left="0"/>
              <w:rPr>
                <w:rFonts w:cstheme="minorHAnsi"/>
                <w:sz w:val="20"/>
                <w:szCs w:val="20"/>
              </w:rPr>
            </w:pPr>
          </w:p>
        </w:tc>
      </w:tr>
      <w:tr w:rsidR="00A8642A" w:rsidRPr="006E751A" w14:paraId="00AD9DFB" w14:textId="77777777" w:rsidTr="00604541">
        <w:tc>
          <w:tcPr>
            <w:tcW w:w="977" w:type="dxa"/>
          </w:tcPr>
          <w:p w14:paraId="36009CF5" w14:textId="09EFF2FD" w:rsidR="00A8642A" w:rsidRDefault="00A8642A" w:rsidP="009F1147">
            <w:pPr>
              <w:tabs>
                <w:tab w:val="center" w:pos="6480"/>
              </w:tabs>
              <w:autoSpaceDE w:val="0"/>
              <w:autoSpaceDN w:val="0"/>
              <w:adjustRightInd w:val="0"/>
              <w:rPr>
                <w:rFonts w:cs="SAS Monospace"/>
                <w:sz w:val="20"/>
                <w:szCs w:val="20"/>
              </w:rPr>
            </w:pPr>
            <w:r>
              <w:rPr>
                <w:rFonts w:cs="SAS Monospace"/>
                <w:sz w:val="20"/>
                <w:szCs w:val="20"/>
              </w:rPr>
              <w:t>125</w:t>
            </w:r>
          </w:p>
        </w:tc>
        <w:tc>
          <w:tcPr>
            <w:tcW w:w="1903" w:type="dxa"/>
          </w:tcPr>
          <w:p w14:paraId="509225FD" w14:textId="01CD27C7" w:rsidR="00A8642A" w:rsidRDefault="00A8642A" w:rsidP="00A8642A">
            <w:pPr>
              <w:tabs>
                <w:tab w:val="center" w:pos="6480"/>
              </w:tabs>
              <w:autoSpaceDE w:val="0"/>
              <w:autoSpaceDN w:val="0"/>
              <w:adjustRightInd w:val="0"/>
              <w:rPr>
                <w:rFonts w:cstheme="minorHAnsi"/>
                <w:sz w:val="20"/>
                <w:szCs w:val="20"/>
              </w:rPr>
            </w:pPr>
            <w:r>
              <w:rPr>
                <w:rFonts w:cs="SAS Monospace"/>
                <w:sz w:val="20"/>
                <w:szCs w:val="20"/>
              </w:rPr>
              <w:t>S3SCH</w:t>
            </w:r>
          </w:p>
        </w:tc>
        <w:tc>
          <w:tcPr>
            <w:tcW w:w="5788" w:type="dxa"/>
          </w:tcPr>
          <w:p w14:paraId="11C84397" w14:textId="42058992"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lastRenderedPageBreak/>
              <w:t xml:space="preserve">the </w:t>
            </w:r>
            <w:r w:rsidRPr="00436535">
              <w:rPr>
                <w:rFonts w:cstheme="minorHAnsi"/>
                <w:sz w:val="20"/>
                <w:szCs w:val="20"/>
              </w:rPr>
              <w:t>number of businesses per square mile.</w:t>
            </w:r>
          </w:p>
        </w:tc>
        <w:tc>
          <w:tcPr>
            <w:tcW w:w="1952" w:type="dxa"/>
          </w:tcPr>
          <w:p w14:paraId="4AD5A1D1" w14:textId="77777777" w:rsidR="00A8642A" w:rsidRPr="00436535" w:rsidRDefault="00A8642A" w:rsidP="004D40F9">
            <w:pPr>
              <w:pStyle w:val="ListParagraph"/>
              <w:ind w:left="0"/>
              <w:rPr>
                <w:rFonts w:cstheme="minorHAnsi"/>
                <w:sz w:val="20"/>
                <w:szCs w:val="20"/>
              </w:rPr>
            </w:pPr>
          </w:p>
        </w:tc>
      </w:tr>
      <w:tr w:rsidR="00A8642A" w:rsidRPr="006E751A" w14:paraId="1D083E93" w14:textId="77777777" w:rsidTr="00604541">
        <w:tc>
          <w:tcPr>
            <w:tcW w:w="977" w:type="dxa"/>
          </w:tcPr>
          <w:p w14:paraId="7C25B59B" w14:textId="1C4E1243"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lastRenderedPageBreak/>
              <w:t>126</w:t>
            </w:r>
          </w:p>
        </w:tc>
        <w:tc>
          <w:tcPr>
            <w:tcW w:w="1903" w:type="dxa"/>
          </w:tcPr>
          <w:p w14:paraId="4DB50434" w14:textId="1E99DD03"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S3SMALL</w:t>
            </w:r>
          </w:p>
        </w:tc>
        <w:tc>
          <w:tcPr>
            <w:tcW w:w="5788" w:type="dxa"/>
          </w:tcPr>
          <w:p w14:paraId="346F1356" w14:textId="66B28642"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44598EB" w14:textId="77777777" w:rsidR="00A8642A" w:rsidRPr="00436535" w:rsidRDefault="00A8642A" w:rsidP="004D40F9">
            <w:pPr>
              <w:pStyle w:val="ListParagraph"/>
              <w:ind w:left="0"/>
              <w:rPr>
                <w:rFonts w:cstheme="minorHAnsi"/>
                <w:sz w:val="20"/>
                <w:szCs w:val="20"/>
              </w:rPr>
            </w:pPr>
          </w:p>
        </w:tc>
      </w:tr>
      <w:tr w:rsidR="00A8642A" w:rsidRPr="006E751A" w14:paraId="6278CFD7" w14:textId="77777777" w:rsidTr="00604541">
        <w:tc>
          <w:tcPr>
            <w:tcW w:w="977" w:type="dxa"/>
          </w:tcPr>
          <w:p w14:paraId="2B91384C" w14:textId="7B4DD07F"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127</w:t>
            </w:r>
          </w:p>
        </w:tc>
        <w:tc>
          <w:tcPr>
            <w:tcW w:w="1903" w:type="dxa"/>
          </w:tcPr>
          <w:p w14:paraId="7D298FE6" w14:textId="27C3684E"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S3FFC</w:t>
            </w:r>
          </w:p>
        </w:tc>
        <w:tc>
          <w:tcPr>
            <w:tcW w:w="5788" w:type="dxa"/>
          </w:tcPr>
          <w:p w14:paraId="3E827805" w14:textId="293BB637"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E432F42" w14:textId="77777777" w:rsidR="00A8642A" w:rsidRPr="00436535" w:rsidRDefault="00A8642A" w:rsidP="004D40F9">
            <w:pPr>
              <w:pStyle w:val="ListParagraph"/>
              <w:ind w:left="0"/>
              <w:rPr>
                <w:rFonts w:cstheme="minorHAnsi"/>
                <w:sz w:val="20"/>
                <w:szCs w:val="20"/>
              </w:rPr>
            </w:pPr>
          </w:p>
        </w:tc>
      </w:tr>
      <w:tr w:rsidR="00A8642A" w:rsidRPr="006E751A" w14:paraId="45BDC962" w14:textId="77777777" w:rsidTr="00604541">
        <w:tc>
          <w:tcPr>
            <w:tcW w:w="977" w:type="dxa"/>
          </w:tcPr>
          <w:p w14:paraId="7727C47E" w14:textId="0E651A00"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128</w:t>
            </w:r>
          </w:p>
        </w:tc>
        <w:tc>
          <w:tcPr>
            <w:tcW w:w="1903" w:type="dxa"/>
          </w:tcPr>
          <w:p w14:paraId="4BAA008C" w14:textId="2751FCF8"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S3FFALL</w:t>
            </w:r>
          </w:p>
        </w:tc>
        <w:tc>
          <w:tcPr>
            <w:tcW w:w="5788" w:type="dxa"/>
          </w:tcPr>
          <w:p w14:paraId="53E3CE8E" w14:textId="52C2BACC"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fast food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577F34D" w14:textId="77777777" w:rsidR="00A8642A" w:rsidRPr="00436535" w:rsidRDefault="00A8642A" w:rsidP="004D40F9">
            <w:pPr>
              <w:pStyle w:val="ListParagraph"/>
              <w:ind w:left="0"/>
              <w:rPr>
                <w:rFonts w:cstheme="minorHAnsi"/>
                <w:sz w:val="20"/>
                <w:szCs w:val="20"/>
              </w:rPr>
            </w:pPr>
          </w:p>
        </w:tc>
      </w:tr>
      <w:tr w:rsidR="00A8642A" w:rsidRPr="006E751A" w14:paraId="3108F712" w14:textId="77777777" w:rsidTr="00604541">
        <w:tc>
          <w:tcPr>
            <w:tcW w:w="977" w:type="dxa"/>
          </w:tcPr>
          <w:p w14:paraId="38D0EEC0" w14:textId="5FD5FEBD"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129</w:t>
            </w:r>
          </w:p>
        </w:tc>
        <w:tc>
          <w:tcPr>
            <w:tcW w:w="1903" w:type="dxa"/>
          </w:tcPr>
          <w:p w14:paraId="42641E48" w14:textId="542A1E88"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S3LIQ</w:t>
            </w:r>
          </w:p>
        </w:tc>
        <w:tc>
          <w:tcPr>
            <w:tcW w:w="5788" w:type="dxa"/>
          </w:tcPr>
          <w:p w14:paraId="15EA8487" w14:textId="75F9AA59"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60EAF6BF" w14:textId="77777777" w:rsidR="00A8642A" w:rsidRPr="00436535" w:rsidRDefault="00A8642A" w:rsidP="004D40F9">
            <w:pPr>
              <w:pStyle w:val="ListParagraph"/>
              <w:ind w:left="0"/>
              <w:rPr>
                <w:rFonts w:cstheme="minorHAnsi"/>
                <w:sz w:val="20"/>
                <w:szCs w:val="20"/>
              </w:rPr>
            </w:pPr>
          </w:p>
        </w:tc>
      </w:tr>
      <w:tr w:rsidR="00A8642A" w:rsidRPr="006E751A" w14:paraId="05AECAF5" w14:textId="77777777" w:rsidTr="00604541">
        <w:tc>
          <w:tcPr>
            <w:tcW w:w="977" w:type="dxa"/>
          </w:tcPr>
          <w:p w14:paraId="05968FFC" w14:textId="7AA95C48"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130</w:t>
            </w:r>
          </w:p>
        </w:tc>
        <w:tc>
          <w:tcPr>
            <w:tcW w:w="1903" w:type="dxa"/>
          </w:tcPr>
          <w:p w14:paraId="7C1E690C" w14:textId="77D98AFE"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S3ALC</w:t>
            </w:r>
          </w:p>
        </w:tc>
        <w:tc>
          <w:tcPr>
            <w:tcW w:w="5788" w:type="dxa"/>
          </w:tcPr>
          <w:p w14:paraId="35B0DB89" w14:textId="3D565180"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CE2D914" w14:textId="77777777" w:rsidR="00A8642A" w:rsidRPr="00436535" w:rsidRDefault="00A8642A" w:rsidP="004D40F9">
            <w:pPr>
              <w:pStyle w:val="ListParagraph"/>
              <w:ind w:left="0"/>
              <w:rPr>
                <w:rFonts w:cstheme="minorHAnsi"/>
                <w:sz w:val="20"/>
                <w:szCs w:val="20"/>
              </w:rPr>
            </w:pPr>
          </w:p>
        </w:tc>
      </w:tr>
      <w:tr w:rsidR="00A8642A" w:rsidRPr="006E751A" w14:paraId="42BE1471" w14:textId="77777777" w:rsidTr="00604541">
        <w:tc>
          <w:tcPr>
            <w:tcW w:w="977" w:type="dxa"/>
          </w:tcPr>
          <w:p w14:paraId="53E5A391" w14:textId="3381671B"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131</w:t>
            </w:r>
          </w:p>
        </w:tc>
        <w:tc>
          <w:tcPr>
            <w:tcW w:w="1903" w:type="dxa"/>
          </w:tcPr>
          <w:p w14:paraId="2BC0E2E5" w14:textId="688ACD1F"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S3ALLALC</w:t>
            </w:r>
          </w:p>
        </w:tc>
        <w:tc>
          <w:tcPr>
            <w:tcW w:w="5788" w:type="dxa"/>
          </w:tcPr>
          <w:p w14:paraId="21CD3047" w14:textId="0E7F423F"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7C1D966" w14:textId="77777777" w:rsidR="00A8642A" w:rsidRPr="00436535" w:rsidRDefault="00A8642A" w:rsidP="004D40F9">
            <w:pPr>
              <w:pStyle w:val="ListParagraph"/>
              <w:ind w:left="0"/>
              <w:rPr>
                <w:rFonts w:cstheme="minorHAnsi"/>
                <w:sz w:val="20"/>
                <w:szCs w:val="20"/>
              </w:rPr>
            </w:pPr>
          </w:p>
        </w:tc>
      </w:tr>
      <w:tr w:rsidR="00A8642A" w:rsidRPr="006E751A" w14:paraId="4467CE46" w14:textId="77777777" w:rsidTr="00604541">
        <w:tc>
          <w:tcPr>
            <w:tcW w:w="977" w:type="dxa"/>
          </w:tcPr>
          <w:p w14:paraId="5C8BE47D" w14:textId="065D34DA"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132</w:t>
            </w:r>
          </w:p>
        </w:tc>
        <w:tc>
          <w:tcPr>
            <w:tcW w:w="1903" w:type="dxa"/>
          </w:tcPr>
          <w:p w14:paraId="7DC9887E" w14:textId="17BD38A0" w:rsidR="00A8642A" w:rsidRDefault="00A8642A" w:rsidP="00A8642A">
            <w:pPr>
              <w:tabs>
                <w:tab w:val="center" w:pos="6480"/>
              </w:tabs>
              <w:autoSpaceDE w:val="0"/>
              <w:autoSpaceDN w:val="0"/>
              <w:adjustRightInd w:val="0"/>
              <w:rPr>
                <w:rFonts w:cs="SAS Monospace"/>
                <w:sz w:val="20"/>
                <w:szCs w:val="20"/>
              </w:rPr>
            </w:pPr>
            <w:r>
              <w:rPr>
                <w:rFonts w:cstheme="minorHAnsi"/>
                <w:sz w:val="20"/>
                <w:szCs w:val="20"/>
              </w:rPr>
              <w:t>S3</w:t>
            </w:r>
            <w:r w:rsidRPr="00436535">
              <w:rPr>
                <w:rFonts w:cstheme="minorHAnsi"/>
                <w:sz w:val="20"/>
                <w:szCs w:val="20"/>
              </w:rPr>
              <w:t>FAV</w:t>
            </w:r>
          </w:p>
        </w:tc>
        <w:tc>
          <w:tcPr>
            <w:tcW w:w="5788" w:type="dxa"/>
          </w:tcPr>
          <w:p w14:paraId="378637FE" w14:textId="08F660A3"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331EEC9B" w14:textId="77777777" w:rsidR="00A8642A" w:rsidRPr="00436535" w:rsidRDefault="00A8642A" w:rsidP="004D40F9">
            <w:pPr>
              <w:pStyle w:val="ListParagraph"/>
              <w:ind w:left="0"/>
              <w:rPr>
                <w:rFonts w:cstheme="minorHAnsi"/>
                <w:sz w:val="20"/>
                <w:szCs w:val="20"/>
              </w:rPr>
            </w:pPr>
          </w:p>
        </w:tc>
      </w:tr>
      <w:tr w:rsidR="00A8642A" w:rsidRPr="006E751A" w14:paraId="2FD8DC01" w14:textId="77777777" w:rsidTr="00604541">
        <w:tc>
          <w:tcPr>
            <w:tcW w:w="977" w:type="dxa"/>
          </w:tcPr>
          <w:p w14:paraId="27BC029E" w14:textId="40C151F5"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133</w:t>
            </w:r>
          </w:p>
        </w:tc>
        <w:tc>
          <w:tcPr>
            <w:tcW w:w="1903" w:type="dxa"/>
          </w:tcPr>
          <w:p w14:paraId="72BD3C24" w14:textId="70A18783"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S3</w:t>
            </w:r>
            <w:r w:rsidRPr="00436535">
              <w:rPr>
                <w:rFonts w:cstheme="minorHAnsi"/>
                <w:sz w:val="20"/>
                <w:szCs w:val="20"/>
              </w:rPr>
              <w:t>UNFAV</w:t>
            </w:r>
          </w:p>
        </w:tc>
        <w:tc>
          <w:tcPr>
            <w:tcW w:w="5788" w:type="dxa"/>
          </w:tcPr>
          <w:p w14:paraId="60B91BA0" w14:textId="35B1C1C5"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865AE34" w14:textId="77777777" w:rsidR="00A8642A" w:rsidRPr="00436535" w:rsidRDefault="00A8642A" w:rsidP="004D40F9">
            <w:pPr>
              <w:pStyle w:val="ListParagraph"/>
              <w:ind w:left="0"/>
              <w:rPr>
                <w:rFonts w:cstheme="minorHAnsi"/>
                <w:sz w:val="20"/>
                <w:szCs w:val="20"/>
              </w:rPr>
            </w:pPr>
          </w:p>
        </w:tc>
      </w:tr>
      <w:tr w:rsidR="00A8642A" w:rsidRPr="006E751A" w14:paraId="46113EA3" w14:textId="77777777" w:rsidTr="00604541">
        <w:tc>
          <w:tcPr>
            <w:tcW w:w="977" w:type="dxa"/>
          </w:tcPr>
          <w:p w14:paraId="4C285E98" w14:textId="5371F7C6"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134</w:t>
            </w:r>
          </w:p>
        </w:tc>
        <w:tc>
          <w:tcPr>
            <w:tcW w:w="1903" w:type="dxa"/>
          </w:tcPr>
          <w:p w14:paraId="43C1BE11" w14:textId="7F637E33"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S3</w:t>
            </w:r>
            <w:r w:rsidRPr="00436535">
              <w:rPr>
                <w:rFonts w:cstheme="minorHAnsi"/>
                <w:sz w:val="20"/>
                <w:szCs w:val="20"/>
              </w:rPr>
              <w:t>UNFAVFO</w:t>
            </w:r>
          </w:p>
        </w:tc>
        <w:tc>
          <w:tcPr>
            <w:tcW w:w="5788" w:type="dxa"/>
          </w:tcPr>
          <w:p w14:paraId="7AA56BA3" w14:textId="1C18C70B"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unfavorable food stores excluding alcohol.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371F47C6" w14:textId="77777777" w:rsidR="00A8642A" w:rsidRPr="00436535" w:rsidRDefault="00A8642A" w:rsidP="004D40F9">
            <w:pPr>
              <w:pStyle w:val="ListParagraph"/>
              <w:ind w:left="0"/>
              <w:rPr>
                <w:rFonts w:cstheme="minorHAnsi"/>
                <w:sz w:val="20"/>
                <w:szCs w:val="20"/>
              </w:rPr>
            </w:pPr>
          </w:p>
        </w:tc>
      </w:tr>
      <w:tr w:rsidR="00A8642A" w:rsidRPr="006E751A" w14:paraId="57CC57A5" w14:textId="77777777" w:rsidTr="00604541">
        <w:tc>
          <w:tcPr>
            <w:tcW w:w="977" w:type="dxa"/>
          </w:tcPr>
          <w:p w14:paraId="74562735" w14:textId="563B439D"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135</w:t>
            </w:r>
          </w:p>
        </w:tc>
        <w:tc>
          <w:tcPr>
            <w:tcW w:w="1903" w:type="dxa"/>
          </w:tcPr>
          <w:p w14:paraId="282B0348" w14:textId="26ED705A"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S3TOTFOOD</w:t>
            </w:r>
          </w:p>
        </w:tc>
        <w:tc>
          <w:tcPr>
            <w:tcW w:w="5788" w:type="dxa"/>
          </w:tcPr>
          <w:p w14:paraId="1529B1B5" w14:textId="34D93297"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3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7B932A57" w14:textId="77777777" w:rsidR="00A8642A" w:rsidRPr="00436535" w:rsidRDefault="00A8642A" w:rsidP="004D40F9">
            <w:pPr>
              <w:pStyle w:val="ListParagraph"/>
              <w:ind w:left="0"/>
              <w:rPr>
                <w:rFonts w:cstheme="minorHAnsi"/>
                <w:sz w:val="20"/>
                <w:szCs w:val="20"/>
              </w:rPr>
            </w:pPr>
          </w:p>
        </w:tc>
      </w:tr>
      <w:tr w:rsidR="00A8642A" w:rsidRPr="006E751A" w14:paraId="1C54D794" w14:textId="77777777" w:rsidTr="00604541">
        <w:tc>
          <w:tcPr>
            <w:tcW w:w="977" w:type="dxa"/>
          </w:tcPr>
          <w:p w14:paraId="45D99A96" w14:textId="3A9DD253"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136</w:t>
            </w:r>
          </w:p>
        </w:tc>
        <w:tc>
          <w:tcPr>
            <w:tcW w:w="1903" w:type="dxa"/>
          </w:tcPr>
          <w:p w14:paraId="480C59AA" w14:textId="7DFBEFE7"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S3</w:t>
            </w:r>
            <w:r w:rsidRPr="00436535">
              <w:rPr>
                <w:rFonts w:cstheme="minorHAnsi"/>
                <w:sz w:val="20"/>
                <w:szCs w:val="20"/>
              </w:rPr>
              <w:t>MRFEI_TOT</w:t>
            </w:r>
          </w:p>
        </w:tc>
        <w:tc>
          <w:tcPr>
            <w:tcW w:w="5788" w:type="dxa"/>
          </w:tcPr>
          <w:p w14:paraId="1CD89B30" w14:textId="117BFCD4" w:rsidR="00A8642A" w:rsidRDefault="00A8642A"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w:t>
            </w:r>
            <w:r>
              <w:rPr>
                <w:rFonts w:cstheme="minorHAnsi"/>
                <w:sz w:val="20"/>
                <w:szCs w:val="20"/>
              </w:rPr>
              <w:t xml:space="preserve"> Food Environment Index (including</w:t>
            </w:r>
            <w:r w:rsidRPr="00436535">
              <w:rPr>
                <w:rFonts w:cstheme="minorHAnsi"/>
                <w:sz w:val="20"/>
                <w:szCs w:val="20"/>
              </w:rPr>
              <w:t xml:space="preserve"> alcohol) for </w:t>
            </w:r>
            <w:r>
              <w:rPr>
                <w:rFonts w:cstheme="minorHAnsi"/>
                <w:sz w:val="20"/>
                <w:szCs w:val="20"/>
              </w:rPr>
              <w:t>3</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This is calculated from </w:t>
            </w:r>
            <w:r w:rsidR="000B635D">
              <w:rPr>
                <w:rFonts w:cstheme="minorHAnsi"/>
                <w:sz w:val="20"/>
                <w:szCs w:val="20"/>
              </w:rPr>
              <w:t>S3</w:t>
            </w:r>
            <w:r w:rsidRPr="00436535">
              <w:rPr>
                <w:rFonts w:cstheme="minorHAnsi"/>
                <w:sz w:val="20"/>
                <w:szCs w:val="20"/>
              </w:rPr>
              <w:t>FAV/(</w:t>
            </w:r>
            <w:r w:rsidR="000B635D">
              <w:rPr>
                <w:rFonts w:cstheme="minorHAnsi"/>
                <w:sz w:val="20"/>
                <w:szCs w:val="20"/>
              </w:rPr>
              <w:t>S3</w:t>
            </w:r>
            <w:r w:rsidRPr="00436535">
              <w:rPr>
                <w:rFonts w:cstheme="minorHAnsi"/>
                <w:sz w:val="20"/>
                <w:szCs w:val="20"/>
              </w:rPr>
              <w:t>FAV+</w:t>
            </w:r>
            <w:r w:rsidR="000B635D">
              <w:rPr>
                <w:rFonts w:cstheme="minorHAnsi"/>
                <w:sz w:val="20"/>
                <w:szCs w:val="20"/>
              </w:rPr>
              <w:t>S3</w:t>
            </w:r>
            <w:r w:rsidRPr="00436535">
              <w:rPr>
                <w:rFonts w:cstheme="minorHAnsi"/>
                <w:sz w:val="20"/>
                <w:szCs w:val="20"/>
              </w:rPr>
              <w:t>UNFAV).</w:t>
            </w:r>
          </w:p>
        </w:tc>
        <w:tc>
          <w:tcPr>
            <w:tcW w:w="1952" w:type="dxa"/>
          </w:tcPr>
          <w:p w14:paraId="3CC63E67" w14:textId="79F2739C" w:rsidR="00A8642A" w:rsidRPr="00436535" w:rsidRDefault="00A8642A" w:rsidP="004D40F9">
            <w:pPr>
              <w:pStyle w:val="ListParagraph"/>
              <w:ind w:left="0"/>
              <w:rPr>
                <w:rFonts w:cstheme="minorHAnsi"/>
                <w:sz w:val="20"/>
                <w:szCs w:val="20"/>
              </w:rPr>
            </w:pPr>
            <w:r w:rsidRPr="00436535">
              <w:rPr>
                <w:rFonts w:cstheme="minorHAnsi"/>
                <w:sz w:val="20"/>
                <w:szCs w:val="20"/>
              </w:rPr>
              <w:t>999999999 = Favorable and Unfavorable are</w:t>
            </w:r>
            <w:r>
              <w:rPr>
                <w:rFonts w:cstheme="minorHAnsi"/>
                <w:sz w:val="20"/>
                <w:szCs w:val="20"/>
              </w:rPr>
              <w:t xml:space="preserve"> both </w:t>
            </w:r>
            <w:r w:rsidRPr="00436535">
              <w:rPr>
                <w:rFonts w:cstheme="minorHAnsi"/>
                <w:sz w:val="20"/>
                <w:szCs w:val="20"/>
              </w:rPr>
              <w:t>0</w:t>
            </w:r>
          </w:p>
        </w:tc>
      </w:tr>
      <w:tr w:rsidR="00A8642A" w:rsidRPr="006E751A" w14:paraId="60FFF733" w14:textId="77777777" w:rsidTr="00604541">
        <w:tc>
          <w:tcPr>
            <w:tcW w:w="977" w:type="dxa"/>
          </w:tcPr>
          <w:p w14:paraId="488DCB27" w14:textId="539A9065"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137</w:t>
            </w:r>
          </w:p>
        </w:tc>
        <w:tc>
          <w:tcPr>
            <w:tcW w:w="1903" w:type="dxa"/>
          </w:tcPr>
          <w:p w14:paraId="02B76506" w14:textId="452F6E7F"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S3</w:t>
            </w:r>
            <w:r w:rsidRPr="00436535">
              <w:rPr>
                <w:rFonts w:cstheme="minorHAnsi"/>
                <w:sz w:val="20"/>
                <w:szCs w:val="20"/>
              </w:rPr>
              <w:t>MRFEI_NOALC</w:t>
            </w:r>
          </w:p>
        </w:tc>
        <w:tc>
          <w:tcPr>
            <w:tcW w:w="5788" w:type="dxa"/>
          </w:tcPr>
          <w:p w14:paraId="50AB4017" w14:textId="577FF02E" w:rsidR="00A8642A" w:rsidRPr="00436535" w:rsidRDefault="00A8642A" w:rsidP="000B635D">
            <w:pPr>
              <w:tabs>
                <w:tab w:val="center" w:pos="6480"/>
              </w:tabs>
              <w:autoSpaceDE w:val="0"/>
              <w:autoSpaceDN w:val="0"/>
              <w:adjustRightInd w:val="0"/>
              <w:rPr>
                <w:rFonts w:cstheme="minorHAnsi"/>
                <w:sz w:val="20"/>
                <w:szCs w:val="20"/>
              </w:rPr>
            </w:pPr>
            <w:r w:rsidRPr="00436535">
              <w:rPr>
                <w:rFonts w:cstheme="minorHAnsi"/>
                <w:sz w:val="20"/>
                <w:szCs w:val="20"/>
              </w:rPr>
              <w:t>Modified Retail Food Environment Index (exclud</w:t>
            </w:r>
            <w:r>
              <w:rPr>
                <w:rFonts w:cstheme="minorHAnsi"/>
                <w:sz w:val="20"/>
                <w:szCs w:val="20"/>
              </w:rPr>
              <w:t>ing</w:t>
            </w:r>
            <w:r w:rsidRPr="00436535">
              <w:rPr>
                <w:rFonts w:cstheme="minorHAnsi"/>
                <w:sz w:val="20"/>
                <w:szCs w:val="20"/>
              </w:rPr>
              <w:t xml:space="preserve"> alcohol) for </w:t>
            </w:r>
            <w:r>
              <w:rPr>
                <w:rFonts w:cstheme="minorHAnsi"/>
                <w:sz w:val="20"/>
                <w:szCs w:val="20"/>
              </w:rPr>
              <w:t xml:space="preserve">3 </w:t>
            </w:r>
            <w:r w:rsidRPr="00436535">
              <w:rPr>
                <w:rFonts w:cstheme="minorHAnsi"/>
                <w:sz w:val="20"/>
                <w:szCs w:val="20"/>
              </w:rPr>
              <w:t xml:space="preserve">mile </w:t>
            </w:r>
            <w:r>
              <w:rPr>
                <w:rFonts w:cstheme="minorHAnsi"/>
                <w:sz w:val="20"/>
                <w:szCs w:val="20"/>
              </w:rPr>
              <w:t>simple</w:t>
            </w:r>
            <w:r w:rsidRPr="00436535">
              <w:rPr>
                <w:rFonts w:cstheme="minorHAnsi"/>
                <w:sz w:val="20"/>
                <w:szCs w:val="20"/>
              </w:rPr>
              <w:t xml:space="preserve"> density.  This is calculated from </w:t>
            </w:r>
            <w:r w:rsidR="000B635D">
              <w:rPr>
                <w:rFonts w:cstheme="minorHAnsi"/>
                <w:sz w:val="20"/>
                <w:szCs w:val="20"/>
              </w:rPr>
              <w:t>S3</w:t>
            </w:r>
            <w:r w:rsidRPr="00436535">
              <w:rPr>
                <w:rFonts w:cstheme="minorHAnsi"/>
                <w:sz w:val="20"/>
                <w:szCs w:val="20"/>
              </w:rPr>
              <w:t>FAV/(</w:t>
            </w:r>
            <w:r w:rsidR="000B635D">
              <w:rPr>
                <w:rFonts w:cstheme="minorHAnsi"/>
                <w:sz w:val="20"/>
                <w:szCs w:val="20"/>
              </w:rPr>
              <w:t>S3</w:t>
            </w:r>
            <w:r w:rsidRPr="00436535">
              <w:rPr>
                <w:rFonts w:cstheme="minorHAnsi"/>
                <w:sz w:val="20"/>
                <w:szCs w:val="20"/>
              </w:rPr>
              <w:t>FAV+</w:t>
            </w:r>
            <w:r w:rsidR="000B635D">
              <w:rPr>
                <w:rFonts w:cstheme="minorHAnsi"/>
                <w:sz w:val="20"/>
                <w:szCs w:val="20"/>
              </w:rPr>
              <w:t>S3</w:t>
            </w:r>
            <w:r w:rsidRPr="00436535">
              <w:rPr>
                <w:rFonts w:cstheme="minorHAnsi"/>
                <w:sz w:val="20"/>
                <w:szCs w:val="20"/>
              </w:rPr>
              <w:t>UNFAVFO).</w:t>
            </w:r>
          </w:p>
        </w:tc>
        <w:tc>
          <w:tcPr>
            <w:tcW w:w="1952" w:type="dxa"/>
          </w:tcPr>
          <w:p w14:paraId="54C692F0" w14:textId="0AF24329" w:rsidR="00A8642A" w:rsidRPr="00436535" w:rsidRDefault="00A8642A" w:rsidP="004D40F9">
            <w:pPr>
              <w:pStyle w:val="ListParagraph"/>
              <w:ind w:left="0"/>
              <w:rPr>
                <w:rFonts w:cstheme="minorHAnsi"/>
                <w:sz w:val="20"/>
                <w:szCs w:val="20"/>
              </w:rPr>
            </w:pPr>
            <w:r w:rsidRPr="00436535">
              <w:rPr>
                <w:rFonts w:cstheme="minorHAnsi"/>
                <w:sz w:val="20"/>
                <w:szCs w:val="20"/>
              </w:rPr>
              <w:t xml:space="preserve">999999999 = Favorable and Unfavorable are </w:t>
            </w:r>
            <w:r>
              <w:rPr>
                <w:rFonts w:cstheme="minorHAnsi"/>
                <w:sz w:val="20"/>
                <w:szCs w:val="20"/>
              </w:rPr>
              <w:t xml:space="preserve">both </w:t>
            </w:r>
            <w:r w:rsidRPr="00436535">
              <w:rPr>
                <w:rFonts w:cstheme="minorHAnsi"/>
                <w:sz w:val="20"/>
                <w:szCs w:val="20"/>
              </w:rPr>
              <w:t>0</w:t>
            </w:r>
          </w:p>
        </w:tc>
      </w:tr>
      <w:tr w:rsidR="00A8642A" w:rsidRPr="006E751A" w14:paraId="142231CC" w14:textId="77777777" w:rsidTr="00604541">
        <w:tc>
          <w:tcPr>
            <w:tcW w:w="977" w:type="dxa"/>
          </w:tcPr>
          <w:p w14:paraId="5D79C1D9" w14:textId="6BA24F27"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138</w:t>
            </w:r>
          </w:p>
        </w:tc>
        <w:tc>
          <w:tcPr>
            <w:tcW w:w="1903" w:type="dxa"/>
          </w:tcPr>
          <w:p w14:paraId="230E8005" w14:textId="7D98B21B" w:rsidR="00A8642A" w:rsidRDefault="00A8642A" w:rsidP="00A8642A">
            <w:pPr>
              <w:tabs>
                <w:tab w:val="center" w:pos="6480"/>
              </w:tabs>
              <w:autoSpaceDE w:val="0"/>
              <w:autoSpaceDN w:val="0"/>
              <w:adjustRightInd w:val="0"/>
              <w:rPr>
                <w:rFonts w:cstheme="minorHAnsi"/>
                <w:sz w:val="20"/>
                <w:szCs w:val="20"/>
              </w:rPr>
            </w:pPr>
            <w:r>
              <w:rPr>
                <w:rFonts w:cs="SAS Monospace"/>
                <w:sz w:val="20"/>
                <w:szCs w:val="20"/>
              </w:rPr>
              <w:t>A_S3SCH</w:t>
            </w:r>
          </w:p>
        </w:tc>
        <w:tc>
          <w:tcPr>
            <w:tcW w:w="5788" w:type="dxa"/>
          </w:tcPr>
          <w:p w14:paraId="7E51FFA7" w14:textId="4862748A" w:rsidR="00A8642A" w:rsidRPr="00436535"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supermarket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2AC9A095" w14:textId="77777777" w:rsidR="00A8642A" w:rsidRPr="00436535" w:rsidRDefault="00A8642A" w:rsidP="004D40F9">
            <w:pPr>
              <w:pStyle w:val="ListParagraph"/>
              <w:ind w:left="0"/>
              <w:rPr>
                <w:rFonts w:cstheme="minorHAnsi"/>
                <w:sz w:val="20"/>
                <w:szCs w:val="20"/>
              </w:rPr>
            </w:pPr>
          </w:p>
        </w:tc>
      </w:tr>
      <w:tr w:rsidR="00A8642A" w:rsidRPr="006E751A" w14:paraId="4E0B8C37" w14:textId="77777777" w:rsidTr="00604541">
        <w:tc>
          <w:tcPr>
            <w:tcW w:w="977" w:type="dxa"/>
          </w:tcPr>
          <w:p w14:paraId="2C93CC51" w14:textId="4CC36A8D"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139</w:t>
            </w:r>
          </w:p>
        </w:tc>
        <w:tc>
          <w:tcPr>
            <w:tcW w:w="1903" w:type="dxa"/>
          </w:tcPr>
          <w:p w14:paraId="3D12142C" w14:textId="65F5B017"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A_S3SMALL</w:t>
            </w:r>
          </w:p>
        </w:tc>
        <w:tc>
          <w:tcPr>
            <w:tcW w:w="5788" w:type="dxa"/>
          </w:tcPr>
          <w:p w14:paraId="799CA02A" w14:textId="041DB318"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supermarket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08B976B4" w14:textId="77777777" w:rsidR="00A8642A" w:rsidRPr="00436535" w:rsidRDefault="00A8642A" w:rsidP="004D40F9">
            <w:pPr>
              <w:pStyle w:val="ListParagraph"/>
              <w:ind w:left="0"/>
              <w:rPr>
                <w:rFonts w:cstheme="minorHAnsi"/>
                <w:sz w:val="20"/>
                <w:szCs w:val="20"/>
              </w:rPr>
            </w:pPr>
          </w:p>
        </w:tc>
      </w:tr>
      <w:tr w:rsidR="00A8642A" w:rsidRPr="006E751A" w14:paraId="4D1DA642" w14:textId="77777777" w:rsidTr="00604541">
        <w:tc>
          <w:tcPr>
            <w:tcW w:w="977" w:type="dxa"/>
          </w:tcPr>
          <w:p w14:paraId="237AE29B" w14:textId="7FDB85E6"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140</w:t>
            </w:r>
          </w:p>
        </w:tc>
        <w:tc>
          <w:tcPr>
            <w:tcW w:w="1903" w:type="dxa"/>
          </w:tcPr>
          <w:p w14:paraId="3C542B01" w14:textId="1D714CFB"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A_S3FFC</w:t>
            </w:r>
          </w:p>
        </w:tc>
        <w:tc>
          <w:tcPr>
            <w:tcW w:w="5788" w:type="dxa"/>
          </w:tcPr>
          <w:p w14:paraId="040295EA" w14:textId="026C54D9"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723DEF99" w14:textId="77777777" w:rsidR="00A8642A" w:rsidRPr="00436535" w:rsidRDefault="00A8642A" w:rsidP="004D40F9">
            <w:pPr>
              <w:pStyle w:val="ListParagraph"/>
              <w:ind w:left="0"/>
              <w:rPr>
                <w:rFonts w:cstheme="minorHAnsi"/>
                <w:sz w:val="20"/>
                <w:szCs w:val="20"/>
              </w:rPr>
            </w:pPr>
          </w:p>
        </w:tc>
      </w:tr>
      <w:tr w:rsidR="00A8642A" w:rsidRPr="006E751A" w14:paraId="67184EC3" w14:textId="77777777" w:rsidTr="00604541">
        <w:tc>
          <w:tcPr>
            <w:tcW w:w="977" w:type="dxa"/>
          </w:tcPr>
          <w:p w14:paraId="7FE58353" w14:textId="23ACD13A"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141</w:t>
            </w:r>
          </w:p>
        </w:tc>
        <w:tc>
          <w:tcPr>
            <w:tcW w:w="1903" w:type="dxa"/>
          </w:tcPr>
          <w:p w14:paraId="22EBF453" w14:textId="1EA2FEDF"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A_S3FFALL</w:t>
            </w:r>
          </w:p>
        </w:tc>
        <w:tc>
          <w:tcPr>
            <w:tcW w:w="5788" w:type="dxa"/>
          </w:tcPr>
          <w:p w14:paraId="5108E0A7" w14:textId="10FFB3FE"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fast food chain+non-chain.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C9F51F7" w14:textId="77777777" w:rsidR="00A8642A" w:rsidRPr="00436535" w:rsidRDefault="00A8642A" w:rsidP="004D40F9">
            <w:pPr>
              <w:pStyle w:val="ListParagraph"/>
              <w:ind w:left="0"/>
              <w:rPr>
                <w:rFonts w:cstheme="minorHAnsi"/>
                <w:sz w:val="20"/>
                <w:szCs w:val="20"/>
              </w:rPr>
            </w:pPr>
          </w:p>
        </w:tc>
      </w:tr>
      <w:tr w:rsidR="00A8642A" w:rsidRPr="006E751A" w14:paraId="17D2953A" w14:textId="77777777" w:rsidTr="00604541">
        <w:tc>
          <w:tcPr>
            <w:tcW w:w="977" w:type="dxa"/>
          </w:tcPr>
          <w:p w14:paraId="32511EED" w14:textId="37E35D89"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142</w:t>
            </w:r>
          </w:p>
        </w:tc>
        <w:tc>
          <w:tcPr>
            <w:tcW w:w="1903" w:type="dxa"/>
          </w:tcPr>
          <w:p w14:paraId="6D1C2896" w14:textId="6E1861A3"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A_S3LIQ</w:t>
            </w:r>
          </w:p>
        </w:tc>
        <w:tc>
          <w:tcPr>
            <w:tcW w:w="5788" w:type="dxa"/>
          </w:tcPr>
          <w:p w14:paraId="6C4DEF10" w14:textId="3CA8E2BB"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liquor stores.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04D91A4C" w14:textId="77777777" w:rsidR="00A8642A" w:rsidRPr="00436535" w:rsidRDefault="00A8642A" w:rsidP="004D40F9">
            <w:pPr>
              <w:pStyle w:val="ListParagraph"/>
              <w:ind w:left="0"/>
              <w:rPr>
                <w:rFonts w:cstheme="minorHAnsi"/>
                <w:sz w:val="20"/>
                <w:szCs w:val="20"/>
              </w:rPr>
            </w:pPr>
          </w:p>
        </w:tc>
      </w:tr>
      <w:tr w:rsidR="00A8642A" w:rsidRPr="006E751A" w14:paraId="75ACA42A" w14:textId="77777777" w:rsidTr="00604541">
        <w:tc>
          <w:tcPr>
            <w:tcW w:w="977" w:type="dxa"/>
          </w:tcPr>
          <w:p w14:paraId="4A8CF682" w14:textId="288824D7"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143</w:t>
            </w:r>
          </w:p>
        </w:tc>
        <w:tc>
          <w:tcPr>
            <w:tcW w:w="1903" w:type="dxa"/>
          </w:tcPr>
          <w:p w14:paraId="1CD9B970" w14:textId="3866A5FF"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A_S3ALC</w:t>
            </w:r>
          </w:p>
        </w:tc>
        <w:tc>
          <w:tcPr>
            <w:tcW w:w="5788" w:type="dxa"/>
          </w:tcPr>
          <w:p w14:paraId="67ABB9DA" w14:textId="360EE70B"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alcoholic 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w:t>
            </w:r>
            <w:r w:rsidRPr="00436535">
              <w:rPr>
                <w:rFonts w:cstheme="minorHAnsi"/>
                <w:sz w:val="20"/>
                <w:szCs w:val="20"/>
              </w:rPr>
              <w:lastRenderedPageBreak/>
              <w:t>mile.</w:t>
            </w:r>
          </w:p>
        </w:tc>
        <w:tc>
          <w:tcPr>
            <w:tcW w:w="1952" w:type="dxa"/>
          </w:tcPr>
          <w:p w14:paraId="4205DAEE" w14:textId="77777777" w:rsidR="00A8642A" w:rsidRPr="00436535" w:rsidRDefault="00A8642A" w:rsidP="004D40F9">
            <w:pPr>
              <w:pStyle w:val="ListParagraph"/>
              <w:ind w:left="0"/>
              <w:rPr>
                <w:rFonts w:cstheme="minorHAnsi"/>
                <w:sz w:val="20"/>
                <w:szCs w:val="20"/>
              </w:rPr>
            </w:pPr>
          </w:p>
        </w:tc>
      </w:tr>
      <w:tr w:rsidR="00A8642A" w:rsidRPr="006E751A" w14:paraId="308E2A8B" w14:textId="77777777" w:rsidTr="00604541">
        <w:tc>
          <w:tcPr>
            <w:tcW w:w="977" w:type="dxa"/>
          </w:tcPr>
          <w:p w14:paraId="125898EF" w14:textId="09FA1E4E"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lastRenderedPageBreak/>
              <w:t>144</w:t>
            </w:r>
          </w:p>
        </w:tc>
        <w:tc>
          <w:tcPr>
            <w:tcW w:w="1903" w:type="dxa"/>
          </w:tcPr>
          <w:p w14:paraId="6BEFCBA8" w14:textId="54FB042C"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A_S3ALLALC</w:t>
            </w:r>
          </w:p>
        </w:tc>
        <w:tc>
          <w:tcPr>
            <w:tcW w:w="5788" w:type="dxa"/>
          </w:tcPr>
          <w:p w14:paraId="6964ED21" w14:textId="74C252EE"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alcohol (stores+drinking places)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businesses per square mile.</w:t>
            </w:r>
          </w:p>
        </w:tc>
        <w:tc>
          <w:tcPr>
            <w:tcW w:w="1952" w:type="dxa"/>
          </w:tcPr>
          <w:p w14:paraId="5FEA09FD" w14:textId="77777777" w:rsidR="00A8642A" w:rsidRPr="00436535" w:rsidRDefault="00A8642A" w:rsidP="004D40F9">
            <w:pPr>
              <w:pStyle w:val="ListParagraph"/>
              <w:ind w:left="0"/>
              <w:rPr>
                <w:rFonts w:cstheme="minorHAnsi"/>
                <w:sz w:val="20"/>
                <w:szCs w:val="20"/>
              </w:rPr>
            </w:pPr>
          </w:p>
        </w:tc>
      </w:tr>
      <w:tr w:rsidR="00A8642A" w:rsidRPr="006E751A" w14:paraId="5BB16C30" w14:textId="77777777" w:rsidTr="00604541">
        <w:tc>
          <w:tcPr>
            <w:tcW w:w="977" w:type="dxa"/>
          </w:tcPr>
          <w:p w14:paraId="05291C00" w14:textId="5B6953C7"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145</w:t>
            </w:r>
          </w:p>
        </w:tc>
        <w:tc>
          <w:tcPr>
            <w:tcW w:w="1903" w:type="dxa"/>
          </w:tcPr>
          <w:p w14:paraId="1523D4D7" w14:textId="3CDBF256" w:rsidR="00A8642A" w:rsidRDefault="00A8642A" w:rsidP="00A8642A">
            <w:pPr>
              <w:tabs>
                <w:tab w:val="center" w:pos="6480"/>
              </w:tabs>
              <w:autoSpaceDE w:val="0"/>
              <w:autoSpaceDN w:val="0"/>
              <w:adjustRightInd w:val="0"/>
              <w:rPr>
                <w:rFonts w:cs="SAS Monospace"/>
                <w:sz w:val="20"/>
                <w:szCs w:val="20"/>
              </w:rPr>
            </w:pPr>
            <w:r>
              <w:rPr>
                <w:rFonts w:cstheme="minorHAnsi"/>
                <w:sz w:val="20"/>
                <w:szCs w:val="20"/>
              </w:rPr>
              <w:t>A_S3</w:t>
            </w:r>
            <w:r w:rsidRPr="00436535">
              <w:rPr>
                <w:rFonts w:cstheme="minorHAnsi"/>
                <w:sz w:val="20"/>
                <w:szCs w:val="20"/>
              </w:rPr>
              <w:t>FAV</w:t>
            </w:r>
          </w:p>
        </w:tc>
        <w:tc>
          <w:tcPr>
            <w:tcW w:w="5788" w:type="dxa"/>
          </w:tcPr>
          <w:p w14:paraId="1AA8EF5C" w14:textId="5DF46EAB"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favorable </w:t>
            </w:r>
            <w:r>
              <w:rPr>
                <w:rFonts w:cstheme="minorHAnsi"/>
                <w:sz w:val="20"/>
                <w:szCs w:val="20"/>
              </w:rPr>
              <w:t xml:space="preserve">(healthy) </w:t>
            </w:r>
            <w:r w:rsidRPr="00436535">
              <w:rPr>
                <w:rFonts w:cstheme="minorHAnsi"/>
                <w:sz w:val="20"/>
                <w:szCs w:val="20"/>
              </w:rPr>
              <w:t>food stores.  The unit of measure is</w:t>
            </w:r>
            <w:r>
              <w:rPr>
                <w:rFonts w:cstheme="minorHAnsi"/>
                <w:sz w:val="20"/>
                <w:szCs w:val="20"/>
              </w:rPr>
              <w:t xml:space="preserve"> the </w:t>
            </w:r>
            <w:r w:rsidRPr="00436535">
              <w:rPr>
                <w:rFonts w:cstheme="minorHAnsi"/>
                <w:sz w:val="20"/>
                <w:szCs w:val="20"/>
              </w:rPr>
              <w:t xml:space="preserve">number of businesses per square mile.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5DF35930" w14:textId="77777777" w:rsidR="00A8642A" w:rsidRPr="00436535" w:rsidRDefault="00A8642A" w:rsidP="004D40F9">
            <w:pPr>
              <w:pStyle w:val="ListParagraph"/>
              <w:ind w:left="0"/>
              <w:rPr>
                <w:rFonts w:cstheme="minorHAnsi"/>
                <w:sz w:val="20"/>
                <w:szCs w:val="20"/>
              </w:rPr>
            </w:pPr>
          </w:p>
        </w:tc>
      </w:tr>
      <w:tr w:rsidR="00A8642A" w:rsidRPr="006E751A" w14:paraId="403C2032" w14:textId="77777777" w:rsidTr="00604541">
        <w:tc>
          <w:tcPr>
            <w:tcW w:w="977" w:type="dxa"/>
          </w:tcPr>
          <w:p w14:paraId="7F231A80" w14:textId="72BFD108"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146</w:t>
            </w:r>
          </w:p>
        </w:tc>
        <w:tc>
          <w:tcPr>
            <w:tcW w:w="1903" w:type="dxa"/>
          </w:tcPr>
          <w:p w14:paraId="00BC9937" w14:textId="5CECABBA"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A_S3</w:t>
            </w:r>
            <w:r w:rsidRPr="00436535">
              <w:rPr>
                <w:rFonts w:cstheme="minorHAnsi"/>
                <w:sz w:val="20"/>
                <w:szCs w:val="20"/>
              </w:rPr>
              <w:t>UNFAV</w:t>
            </w:r>
          </w:p>
        </w:tc>
        <w:tc>
          <w:tcPr>
            <w:tcW w:w="5788" w:type="dxa"/>
          </w:tcPr>
          <w:p w14:paraId="5E4E7812" w14:textId="054679DB"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w:t>
            </w:r>
            <w:r w:rsidRPr="00436535">
              <w:rPr>
                <w:rFonts w:cstheme="minorHAnsi"/>
                <w:sz w:val="20"/>
                <w:szCs w:val="20"/>
              </w:rPr>
              <w:t>l</w:t>
            </w:r>
            <w:r>
              <w:rPr>
                <w:rFonts w:cstheme="minorHAnsi"/>
                <w:sz w:val="20"/>
                <w:szCs w:val="20"/>
              </w:rPr>
              <w:t>e</w:t>
            </w:r>
            <w:r w:rsidRPr="00436535">
              <w:rPr>
                <w:rFonts w:cstheme="minorHAnsi"/>
                <w:sz w:val="20"/>
                <w:szCs w:val="20"/>
              </w:rPr>
              <w:t xml:space="preserve"> density unfavorable food stores including alcohol</w:t>
            </w:r>
            <w:r>
              <w:rPr>
                <w:rFonts w:cstheme="minorHAnsi"/>
                <w:sz w:val="20"/>
                <w:szCs w:val="20"/>
              </w:rPr>
              <w:t xml:space="preserve"> outlets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03612103" w14:textId="77777777" w:rsidR="00A8642A" w:rsidRPr="00436535" w:rsidRDefault="00A8642A" w:rsidP="004D40F9">
            <w:pPr>
              <w:pStyle w:val="ListParagraph"/>
              <w:ind w:left="0"/>
              <w:rPr>
                <w:rFonts w:cstheme="minorHAnsi"/>
                <w:sz w:val="20"/>
                <w:szCs w:val="20"/>
              </w:rPr>
            </w:pPr>
          </w:p>
        </w:tc>
      </w:tr>
      <w:tr w:rsidR="00A8642A" w:rsidRPr="006E751A" w14:paraId="0EF25A09" w14:textId="77777777" w:rsidTr="00604541">
        <w:tc>
          <w:tcPr>
            <w:tcW w:w="977" w:type="dxa"/>
          </w:tcPr>
          <w:p w14:paraId="243A7F9B" w14:textId="43C314A5"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147</w:t>
            </w:r>
          </w:p>
        </w:tc>
        <w:tc>
          <w:tcPr>
            <w:tcW w:w="1903" w:type="dxa"/>
          </w:tcPr>
          <w:p w14:paraId="733E295C" w14:textId="7E84DA47"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A_S3</w:t>
            </w:r>
            <w:r w:rsidRPr="00436535">
              <w:rPr>
                <w:rFonts w:cstheme="minorHAnsi"/>
                <w:sz w:val="20"/>
                <w:szCs w:val="20"/>
              </w:rPr>
              <w:t>UNFAVFO</w:t>
            </w:r>
          </w:p>
        </w:tc>
        <w:tc>
          <w:tcPr>
            <w:tcW w:w="5788" w:type="dxa"/>
          </w:tcPr>
          <w:p w14:paraId="32C59646" w14:textId="7BBD70F7"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unfavorable food stores excluding alcohol.  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6122CBD3" w14:textId="77777777" w:rsidR="00A8642A" w:rsidRPr="00436535" w:rsidRDefault="00A8642A" w:rsidP="004D40F9">
            <w:pPr>
              <w:pStyle w:val="ListParagraph"/>
              <w:ind w:left="0"/>
              <w:rPr>
                <w:rFonts w:cstheme="minorHAnsi"/>
                <w:sz w:val="20"/>
                <w:szCs w:val="20"/>
              </w:rPr>
            </w:pPr>
          </w:p>
        </w:tc>
      </w:tr>
      <w:tr w:rsidR="00A8642A" w:rsidRPr="006E751A" w14:paraId="2DD003D8" w14:textId="77777777" w:rsidTr="00604541">
        <w:tc>
          <w:tcPr>
            <w:tcW w:w="977" w:type="dxa"/>
          </w:tcPr>
          <w:p w14:paraId="157861F4" w14:textId="2DFBD7A2" w:rsidR="00A8642A" w:rsidRDefault="00A8642A" w:rsidP="00A8642A">
            <w:pPr>
              <w:tabs>
                <w:tab w:val="center" w:pos="6480"/>
              </w:tabs>
              <w:autoSpaceDE w:val="0"/>
              <w:autoSpaceDN w:val="0"/>
              <w:adjustRightInd w:val="0"/>
              <w:rPr>
                <w:rFonts w:cs="SAS Monospace"/>
                <w:sz w:val="20"/>
                <w:szCs w:val="20"/>
              </w:rPr>
            </w:pPr>
            <w:r>
              <w:rPr>
                <w:rFonts w:cs="SAS Monospace"/>
                <w:sz w:val="20"/>
                <w:szCs w:val="20"/>
              </w:rPr>
              <w:t>148</w:t>
            </w:r>
          </w:p>
        </w:tc>
        <w:tc>
          <w:tcPr>
            <w:tcW w:w="1903" w:type="dxa"/>
          </w:tcPr>
          <w:p w14:paraId="46528802" w14:textId="49B6E295"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A_S3TOTFOOD</w:t>
            </w:r>
          </w:p>
        </w:tc>
        <w:tc>
          <w:tcPr>
            <w:tcW w:w="5788" w:type="dxa"/>
          </w:tcPr>
          <w:p w14:paraId="6738A1AC" w14:textId="2DA3AC97" w:rsidR="00A8642A" w:rsidRDefault="00A8642A" w:rsidP="00A8642A">
            <w:pPr>
              <w:tabs>
                <w:tab w:val="center" w:pos="6480"/>
              </w:tabs>
              <w:autoSpaceDE w:val="0"/>
              <w:autoSpaceDN w:val="0"/>
              <w:adjustRightInd w:val="0"/>
              <w:rPr>
                <w:rFonts w:cstheme="minorHAnsi"/>
                <w:sz w:val="20"/>
                <w:szCs w:val="20"/>
              </w:rPr>
            </w:pPr>
            <w:r>
              <w:rPr>
                <w:rFonts w:cstheme="minorHAnsi"/>
                <w:sz w:val="20"/>
                <w:szCs w:val="20"/>
              </w:rPr>
              <w:t xml:space="preserve">Cumulative average of 3 mile simple density total food stores.  </w:t>
            </w:r>
            <w:r w:rsidRPr="00436535">
              <w:rPr>
                <w:rFonts w:cstheme="minorHAnsi"/>
                <w:sz w:val="20"/>
                <w:szCs w:val="20"/>
              </w:rPr>
              <w:t xml:space="preserve">The unit of measure is </w:t>
            </w:r>
            <w:r>
              <w:rPr>
                <w:rFonts w:cstheme="minorHAnsi"/>
                <w:sz w:val="20"/>
                <w:szCs w:val="20"/>
              </w:rPr>
              <w:t xml:space="preserve">the </w:t>
            </w:r>
            <w:r w:rsidRPr="00436535">
              <w:rPr>
                <w:rFonts w:cstheme="minorHAnsi"/>
                <w:sz w:val="20"/>
                <w:szCs w:val="20"/>
              </w:rPr>
              <w:t xml:space="preserve">number of businesses per square mile.  This </w:t>
            </w:r>
            <w:r>
              <w:rPr>
                <w:rFonts w:cstheme="minorHAnsi"/>
                <w:sz w:val="20"/>
                <w:szCs w:val="20"/>
              </w:rPr>
              <w:t>includes any business coded as a food store</w:t>
            </w:r>
            <w:r w:rsidRPr="00436535">
              <w:rPr>
                <w:rFonts w:cstheme="minorHAnsi"/>
                <w:sz w:val="20"/>
                <w:szCs w:val="20"/>
              </w:rPr>
              <w:t>.</w:t>
            </w:r>
          </w:p>
        </w:tc>
        <w:tc>
          <w:tcPr>
            <w:tcW w:w="1952" w:type="dxa"/>
          </w:tcPr>
          <w:p w14:paraId="029F2160" w14:textId="77777777" w:rsidR="00A8642A" w:rsidRPr="00436535" w:rsidRDefault="00A8642A" w:rsidP="004D40F9">
            <w:pPr>
              <w:pStyle w:val="ListParagraph"/>
              <w:ind w:left="0"/>
              <w:rPr>
                <w:rFonts w:cstheme="minorHAnsi"/>
                <w:sz w:val="20"/>
                <w:szCs w:val="20"/>
              </w:rPr>
            </w:pPr>
          </w:p>
        </w:tc>
      </w:tr>
      <w:tr w:rsidR="00FE1779" w:rsidRPr="006E751A" w14:paraId="6B653B9D" w14:textId="77777777" w:rsidTr="00604541">
        <w:tc>
          <w:tcPr>
            <w:tcW w:w="977" w:type="dxa"/>
          </w:tcPr>
          <w:p w14:paraId="25732F02" w14:textId="67DEE145" w:rsidR="00FE1779" w:rsidRDefault="00FE1779" w:rsidP="00A8642A">
            <w:pPr>
              <w:tabs>
                <w:tab w:val="center" w:pos="6480"/>
              </w:tabs>
              <w:autoSpaceDE w:val="0"/>
              <w:autoSpaceDN w:val="0"/>
              <w:adjustRightInd w:val="0"/>
              <w:rPr>
                <w:rFonts w:cs="SAS Monospace"/>
                <w:sz w:val="20"/>
                <w:szCs w:val="20"/>
              </w:rPr>
            </w:pPr>
            <w:r>
              <w:rPr>
                <w:rFonts w:cs="SAS Monospace"/>
                <w:sz w:val="20"/>
                <w:szCs w:val="20"/>
              </w:rPr>
              <w:t>149</w:t>
            </w:r>
          </w:p>
        </w:tc>
        <w:tc>
          <w:tcPr>
            <w:tcW w:w="1903" w:type="dxa"/>
          </w:tcPr>
          <w:p w14:paraId="4EDF1334" w14:textId="2026DB70" w:rsidR="00FE1779" w:rsidRDefault="00FE1779" w:rsidP="00A8642A">
            <w:pPr>
              <w:tabs>
                <w:tab w:val="center" w:pos="6480"/>
              </w:tabs>
              <w:autoSpaceDE w:val="0"/>
              <w:autoSpaceDN w:val="0"/>
              <w:adjustRightInd w:val="0"/>
              <w:rPr>
                <w:rFonts w:cstheme="minorHAnsi"/>
                <w:sz w:val="20"/>
                <w:szCs w:val="20"/>
              </w:rPr>
            </w:pPr>
            <w:r>
              <w:rPr>
                <w:rFonts w:cs="SAS Monospace"/>
                <w:sz w:val="20"/>
                <w:szCs w:val="20"/>
              </w:rPr>
              <w:t>ASDSCH</w:t>
            </w:r>
          </w:p>
        </w:tc>
        <w:tc>
          <w:tcPr>
            <w:tcW w:w="5788" w:type="dxa"/>
          </w:tcPr>
          <w:p w14:paraId="5EF08390" w14:textId="38DAA1B7"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supermarket chains</w:t>
            </w:r>
            <w:r>
              <w:rPr>
                <w:rFonts w:cstheme="minorHAnsi"/>
                <w:sz w:val="20"/>
                <w:szCs w:val="20"/>
              </w:rPr>
              <w:t xml:space="preserve"> (meters).</w:t>
            </w:r>
          </w:p>
        </w:tc>
        <w:tc>
          <w:tcPr>
            <w:tcW w:w="1952" w:type="dxa"/>
          </w:tcPr>
          <w:p w14:paraId="4BF404B4" w14:textId="77777777" w:rsidR="00FE1779" w:rsidRPr="00436535" w:rsidRDefault="00FE1779" w:rsidP="004D40F9">
            <w:pPr>
              <w:pStyle w:val="ListParagraph"/>
              <w:ind w:left="0"/>
              <w:rPr>
                <w:rFonts w:cstheme="minorHAnsi"/>
                <w:sz w:val="20"/>
                <w:szCs w:val="20"/>
              </w:rPr>
            </w:pPr>
          </w:p>
        </w:tc>
      </w:tr>
      <w:tr w:rsidR="00FE1779" w:rsidRPr="006E751A" w14:paraId="3F19C39B" w14:textId="77777777" w:rsidTr="00604541">
        <w:tc>
          <w:tcPr>
            <w:tcW w:w="977" w:type="dxa"/>
          </w:tcPr>
          <w:p w14:paraId="7146A265" w14:textId="1F395EBB"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150</w:t>
            </w:r>
          </w:p>
        </w:tc>
        <w:tc>
          <w:tcPr>
            <w:tcW w:w="1903" w:type="dxa"/>
          </w:tcPr>
          <w:p w14:paraId="3DD0F327" w14:textId="0F1EF0E2" w:rsidR="00FE1779" w:rsidRDefault="00FE1779" w:rsidP="00A8642A">
            <w:pPr>
              <w:tabs>
                <w:tab w:val="center" w:pos="6480"/>
              </w:tabs>
              <w:autoSpaceDE w:val="0"/>
              <w:autoSpaceDN w:val="0"/>
              <w:adjustRightInd w:val="0"/>
              <w:rPr>
                <w:rFonts w:cs="SAS Monospace"/>
                <w:sz w:val="20"/>
                <w:szCs w:val="20"/>
              </w:rPr>
            </w:pPr>
            <w:r>
              <w:rPr>
                <w:rFonts w:cs="SAS Monospace"/>
                <w:sz w:val="20"/>
                <w:szCs w:val="20"/>
              </w:rPr>
              <w:t>ASDSMALL</w:t>
            </w:r>
          </w:p>
        </w:tc>
        <w:tc>
          <w:tcPr>
            <w:tcW w:w="5788" w:type="dxa"/>
          </w:tcPr>
          <w:p w14:paraId="140CFFC1" w14:textId="1AB793F9"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supermarket chain+non-chain</w:t>
            </w:r>
            <w:r>
              <w:rPr>
                <w:rFonts w:cstheme="minorHAnsi"/>
                <w:sz w:val="20"/>
                <w:szCs w:val="20"/>
              </w:rPr>
              <w:t xml:space="preserve"> (meters)</w:t>
            </w:r>
            <w:r w:rsidRPr="00436535">
              <w:rPr>
                <w:rFonts w:cstheme="minorHAnsi"/>
                <w:sz w:val="20"/>
                <w:szCs w:val="20"/>
              </w:rPr>
              <w:t>.</w:t>
            </w:r>
          </w:p>
        </w:tc>
        <w:tc>
          <w:tcPr>
            <w:tcW w:w="1952" w:type="dxa"/>
          </w:tcPr>
          <w:p w14:paraId="51BC47C2" w14:textId="77777777" w:rsidR="00FE1779" w:rsidRPr="00436535" w:rsidRDefault="00FE1779" w:rsidP="004D40F9">
            <w:pPr>
              <w:pStyle w:val="ListParagraph"/>
              <w:ind w:left="0"/>
              <w:rPr>
                <w:rFonts w:cstheme="minorHAnsi"/>
                <w:sz w:val="20"/>
                <w:szCs w:val="20"/>
              </w:rPr>
            </w:pPr>
          </w:p>
        </w:tc>
      </w:tr>
      <w:tr w:rsidR="00FE1779" w:rsidRPr="006E751A" w14:paraId="544F13FF" w14:textId="77777777" w:rsidTr="00604541">
        <w:tc>
          <w:tcPr>
            <w:tcW w:w="977" w:type="dxa"/>
          </w:tcPr>
          <w:p w14:paraId="758F9D35" w14:textId="239A5657"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151</w:t>
            </w:r>
          </w:p>
        </w:tc>
        <w:tc>
          <w:tcPr>
            <w:tcW w:w="1903" w:type="dxa"/>
          </w:tcPr>
          <w:p w14:paraId="218EED32" w14:textId="145A6F01" w:rsidR="00FE1779" w:rsidRDefault="00FE1779" w:rsidP="00A8642A">
            <w:pPr>
              <w:tabs>
                <w:tab w:val="center" w:pos="6480"/>
              </w:tabs>
              <w:autoSpaceDE w:val="0"/>
              <w:autoSpaceDN w:val="0"/>
              <w:adjustRightInd w:val="0"/>
              <w:rPr>
                <w:rFonts w:cs="SAS Monospace"/>
                <w:sz w:val="20"/>
                <w:szCs w:val="20"/>
              </w:rPr>
            </w:pPr>
            <w:r>
              <w:rPr>
                <w:rFonts w:cs="SAS Monospace"/>
                <w:sz w:val="20"/>
                <w:szCs w:val="20"/>
              </w:rPr>
              <w:t>ASDFFC</w:t>
            </w:r>
          </w:p>
        </w:tc>
        <w:tc>
          <w:tcPr>
            <w:tcW w:w="5788" w:type="dxa"/>
          </w:tcPr>
          <w:p w14:paraId="032E6312" w14:textId="628DF819"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fast food chains</w:t>
            </w:r>
            <w:r>
              <w:rPr>
                <w:rFonts w:cstheme="minorHAnsi"/>
                <w:sz w:val="20"/>
                <w:szCs w:val="20"/>
              </w:rPr>
              <w:t xml:space="preserve"> (meters)</w:t>
            </w:r>
            <w:r w:rsidRPr="00436535">
              <w:rPr>
                <w:rFonts w:cstheme="minorHAnsi"/>
                <w:sz w:val="20"/>
                <w:szCs w:val="20"/>
              </w:rPr>
              <w:t>.</w:t>
            </w:r>
          </w:p>
        </w:tc>
        <w:tc>
          <w:tcPr>
            <w:tcW w:w="1952" w:type="dxa"/>
          </w:tcPr>
          <w:p w14:paraId="259B5D17" w14:textId="77777777" w:rsidR="00FE1779" w:rsidRPr="00436535" w:rsidRDefault="00FE1779" w:rsidP="004D40F9">
            <w:pPr>
              <w:pStyle w:val="ListParagraph"/>
              <w:ind w:left="0"/>
              <w:rPr>
                <w:rFonts w:cstheme="minorHAnsi"/>
                <w:sz w:val="20"/>
                <w:szCs w:val="20"/>
              </w:rPr>
            </w:pPr>
          </w:p>
        </w:tc>
      </w:tr>
      <w:tr w:rsidR="00FE1779" w:rsidRPr="006E751A" w14:paraId="1BB8AA09" w14:textId="77777777" w:rsidTr="00604541">
        <w:tc>
          <w:tcPr>
            <w:tcW w:w="977" w:type="dxa"/>
          </w:tcPr>
          <w:p w14:paraId="18094B80" w14:textId="35FB0F19"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152</w:t>
            </w:r>
          </w:p>
        </w:tc>
        <w:tc>
          <w:tcPr>
            <w:tcW w:w="1903" w:type="dxa"/>
          </w:tcPr>
          <w:p w14:paraId="37A22A6B" w14:textId="3CE95164" w:rsidR="00FE1779" w:rsidRDefault="00FE1779" w:rsidP="00A8642A">
            <w:pPr>
              <w:tabs>
                <w:tab w:val="center" w:pos="6480"/>
              </w:tabs>
              <w:autoSpaceDE w:val="0"/>
              <w:autoSpaceDN w:val="0"/>
              <w:adjustRightInd w:val="0"/>
              <w:rPr>
                <w:rFonts w:cs="SAS Monospace"/>
                <w:sz w:val="20"/>
                <w:szCs w:val="20"/>
              </w:rPr>
            </w:pPr>
            <w:r>
              <w:rPr>
                <w:rFonts w:cs="SAS Monospace"/>
                <w:sz w:val="20"/>
                <w:szCs w:val="20"/>
              </w:rPr>
              <w:t>ASDFFALL</w:t>
            </w:r>
          </w:p>
        </w:tc>
        <w:tc>
          <w:tcPr>
            <w:tcW w:w="5788" w:type="dxa"/>
          </w:tcPr>
          <w:p w14:paraId="63421832" w14:textId="6A51010A"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fast food chain+non-chain</w:t>
            </w:r>
            <w:r>
              <w:rPr>
                <w:rFonts w:cstheme="minorHAnsi"/>
                <w:sz w:val="20"/>
                <w:szCs w:val="20"/>
              </w:rPr>
              <w:t xml:space="preserve"> (meters).</w:t>
            </w:r>
          </w:p>
        </w:tc>
        <w:tc>
          <w:tcPr>
            <w:tcW w:w="1952" w:type="dxa"/>
          </w:tcPr>
          <w:p w14:paraId="79A72162" w14:textId="77777777" w:rsidR="00FE1779" w:rsidRPr="00436535" w:rsidRDefault="00FE1779" w:rsidP="004D40F9">
            <w:pPr>
              <w:pStyle w:val="ListParagraph"/>
              <w:ind w:left="0"/>
              <w:rPr>
                <w:rFonts w:cstheme="minorHAnsi"/>
                <w:sz w:val="20"/>
                <w:szCs w:val="20"/>
              </w:rPr>
            </w:pPr>
          </w:p>
        </w:tc>
      </w:tr>
      <w:tr w:rsidR="00FE1779" w:rsidRPr="006E751A" w14:paraId="5D23B384" w14:textId="77777777" w:rsidTr="00604541">
        <w:tc>
          <w:tcPr>
            <w:tcW w:w="977" w:type="dxa"/>
          </w:tcPr>
          <w:p w14:paraId="35D1C2B3" w14:textId="40A1CB74"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153</w:t>
            </w:r>
          </w:p>
        </w:tc>
        <w:tc>
          <w:tcPr>
            <w:tcW w:w="1903" w:type="dxa"/>
          </w:tcPr>
          <w:p w14:paraId="4B272FF8" w14:textId="64768EAC" w:rsidR="00FE1779" w:rsidRDefault="00FE1779" w:rsidP="00A8642A">
            <w:pPr>
              <w:tabs>
                <w:tab w:val="center" w:pos="6480"/>
              </w:tabs>
              <w:autoSpaceDE w:val="0"/>
              <w:autoSpaceDN w:val="0"/>
              <w:adjustRightInd w:val="0"/>
              <w:rPr>
                <w:rFonts w:cs="SAS Monospace"/>
                <w:sz w:val="20"/>
                <w:szCs w:val="20"/>
              </w:rPr>
            </w:pPr>
            <w:r>
              <w:rPr>
                <w:rFonts w:cs="SAS Monospace"/>
                <w:sz w:val="20"/>
                <w:szCs w:val="20"/>
              </w:rPr>
              <w:t>ASDLIQ</w:t>
            </w:r>
          </w:p>
        </w:tc>
        <w:tc>
          <w:tcPr>
            <w:tcW w:w="5788" w:type="dxa"/>
          </w:tcPr>
          <w:p w14:paraId="396824A5" w14:textId="42257FF6"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liquor stores</w:t>
            </w:r>
            <w:r>
              <w:rPr>
                <w:rFonts w:cstheme="minorHAnsi"/>
                <w:sz w:val="20"/>
                <w:szCs w:val="20"/>
              </w:rPr>
              <w:t xml:space="preserve"> (meters)</w:t>
            </w:r>
            <w:r w:rsidRPr="00436535">
              <w:rPr>
                <w:rFonts w:cstheme="minorHAnsi"/>
                <w:sz w:val="20"/>
                <w:szCs w:val="20"/>
              </w:rPr>
              <w:t>.</w:t>
            </w:r>
          </w:p>
        </w:tc>
        <w:tc>
          <w:tcPr>
            <w:tcW w:w="1952" w:type="dxa"/>
          </w:tcPr>
          <w:p w14:paraId="6B52A8D4" w14:textId="77777777" w:rsidR="00FE1779" w:rsidRPr="00436535" w:rsidRDefault="00FE1779" w:rsidP="004D40F9">
            <w:pPr>
              <w:pStyle w:val="ListParagraph"/>
              <w:ind w:left="0"/>
              <w:rPr>
                <w:rFonts w:cstheme="minorHAnsi"/>
                <w:sz w:val="20"/>
                <w:szCs w:val="20"/>
              </w:rPr>
            </w:pPr>
          </w:p>
        </w:tc>
      </w:tr>
      <w:tr w:rsidR="00FE1779" w:rsidRPr="006E751A" w14:paraId="1EEA6060" w14:textId="77777777" w:rsidTr="00604541">
        <w:tc>
          <w:tcPr>
            <w:tcW w:w="977" w:type="dxa"/>
          </w:tcPr>
          <w:p w14:paraId="32B62FFD" w14:textId="1A06ED6C"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154</w:t>
            </w:r>
          </w:p>
        </w:tc>
        <w:tc>
          <w:tcPr>
            <w:tcW w:w="1903" w:type="dxa"/>
          </w:tcPr>
          <w:p w14:paraId="125BD1F5" w14:textId="385CCD86"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ASDALC</w:t>
            </w:r>
          </w:p>
        </w:tc>
        <w:tc>
          <w:tcPr>
            <w:tcW w:w="5788" w:type="dxa"/>
          </w:tcPr>
          <w:p w14:paraId="67925DB2" w14:textId="001827AC"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alcoholic drinking places (meters)</w:t>
            </w:r>
            <w:r w:rsidRPr="00436535">
              <w:rPr>
                <w:rFonts w:cstheme="minorHAnsi"/>
                <w:sz w:val="20"/>
                <w:szCs w:val="20"/>
              </w:rPr>
              <w:t>.</w:t>
            </w:r>
          </w:p>
        </w:tc>
        <w:tc>
          <w:tcPr>
            <w:tcW w:w="1952" w:type="dxa"/>
          </w:tcPr>
          <w:p w14:paraId="7521709E" w14:textId="77777777" w:rsidR="00FE1779" w:rsidRPr="00436535" w:rsidRDefault="00FE1779" w:rsidP="004D40F9">
            <w:pPr>
              <w:pStyle w:val="ListParagraph"/>
              <w:ind w:left="0"/>
              <w:rPr>
                <w:rFonts w:cstheme="minorHAnsi"/>
                <w:sz w:val="20"/>
                <w:szCs w:val="20"/>
              </w:rPr>
            </w:pPr>
          </w:p>
        </w:tc>
      </w:tr>
      <w:tr w:rsidR="00FE1779" w:rsidRPr="006E751A" w14:paraId="41D4F8A5" w14:textId="77777777" w:rsidTr="00604541">
        <w:tc>
          <w:tcPr>
            <w:tcW w:w="977" w:type="dxa"/>
          </w:tcPr>
          <w:p w14:paraId="5B01A02A" w14:textId="16CEF844"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155</w:t>
            </w:r>
          </w:p>
        </w:tc>
        <w:tc>
          <w:tcPr>
            <w:tcW w:w="1903" w:type="dxa"/>
          </w:tcPr>
          <w:p w14:paraId="686A495E" w14:textId="62FCEBC9"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ASDALLALC</w:t>
            </w:r>
          </w:p>
        </w:tc>
        <w:tc>
          <w:tcPr>
            <w:tcW w:w="5788" w:type="dxa"/>
          </w:tcPr>
          <w:p w14:paraId="508D7A62" w14:textId="75627864"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total alcohol (stores+drinking places) (meters)</w:t>
            </w:r>
            <w:r w:rsidRPr="00436535">
              <w:rPr>
                <w:rFonts w:cstheme="minorHAnsi"/>
                <w:sz w:val="20"/>
                <w:szCs w:val="20"/>
              </w:rPr>
              <w:t>.</w:t>
            </w:r>
          </w:p>
        </w:tc>
        <w:tc>
          <w:tcPr>
            <w:tcW w:w="1952" w:type="dxa"/>
          </w:tcPr>
          <w:p w14:paraId="5E9CD645" w14:textId="77777777" w:rsidR="00FE1779" w:rsidRPr="00436535" w:rsidRDefault="00FE1779" w:rsidP="004D40F9">
            <w:pPr>
              <w:pStyle w:val="ListParagraph"/>
              <w:ind w:left="0"/>
              <w:rPr>
                <w:rFonts w:cstheme="minorHAnsi"/>
                <w:sz w:val="20"/>
                <w:szCs w:val="20"/>
              </w:rPr>
            </w:pPr>
          </w:p>
        </w:tc>
      </w:tr>
      <w:tr w:rsidR="00FE1779" w:rsidRPr="006E751A" w14:paraId="468676B0" w14:textId="77777777" w:rsidTr="00604541">
        <w:tc>
          <w:tcPr>
            <w:tcW w:w="977" w:type="dxa"/>
          </w:tcPr>
          <w:p w14:paraId="6B3FCEF6" w14:textId="1D170CBE"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156</w:t>
            </w:r>
          </w:p>
        </w:tc>
        <w:tc>
          <w:tcPr>
            <w:tcW w:w="1903" w:type="dxa"/>
          </w:tcPr>
          <w:p w14:paraId="09F3996C" w14:textId="5DB18F49" w:rsidR="00FE1779" w:rsidRDefault="00FE1779" w:rsidP="00FE1779">
            <w:pPr>
              <w:tabs>
                <w:tab w:val="center" w:pos="6480"/>
              </w:tabs>
              <w:autoSpaceDE w:val="0"/>
              <w:autoSpaceDN w:val="0"/>
              <w:adjustRightInd w:val="0"/>
              <w:rPr>
                <w:rFonts w:cs="SAS Monospace"/>
                <w:sz w:val="20"/>
                <w:szCs w:val="20"/>
              </w:rPr>
            </w:pPr>
            <w:r>
              <w:rPr>
                <w:rFonts w:cstheme="minorHAnsi"/>
                <w:sz w:val="20"/>
                <w:szCs w:val="20"/>
              </w:rPr>
              <w:t>ASD</w:t>
            </w:r>
            <w:r w:rsidRPr="00436535">
              <w:rPr>
                <w:rFonts w:cstheme="minorHAnsi"/>
                <w:sz w:val="20"/>
                <w:szCs w:val="20"/>
              </w:rPr>
              <w:t>FAV</w:t>
            </w:r>
          </w:p>
        </w:tc>
        <w:tc>
          <w:tcPr>
            <w:tcW w:w="5788" w:type="dxa"/>
          </w:tcPr>
          <w:p w14:paraId="615186D8" w14:textId="10F4BFE4"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favorable </w:t>
            </w:r>
            <w:r>
              <w:rPr>
                <w:rFonts w:cstheme="minorHAnsi"/>
                <w:sz w:val="20"/>
                <w:szCs w:val="20"/>
              </w:rPr>
              <w:t xml:space="preserve">(healthy) </w:t>
            </w:r>
            <w:r w:rsidRPr="00436535">
              <w:rPr>
                <w:rFonts w:cstheme="minorHAnsi"/>
                <w:sz w:val="20"/>
                <w:szCs w:val="20"/>
              </w:rPr>
              <w:t>food stores</w:t>
            </w:r>
            <w:r>
              <w:rPr>
                <w:rFonts w:cstheme="minorHAnsi"/>
                <w:sz w:val="20"/>
                <w:szCs w:val="20"/>
              </w:rPr>
              <w:t xml:space="preserve"> (meters)</w:t>
            </w:r>
            <w:r w:rsidRPr="00436535">
              <w:rPr>
                <w:rFonts w:cstheme="minorHAnsi"/>
                <w:sz w:val="20"/>
                <w:szCs w:val="20"/>
              </w:rPr>
              <w:t xml:space="preserve">. This </w:t>
            </w:r>
            <w:r>
              <w:rPr>
                <w:rFonts w:cstheme="minorHAnsi"/>
                <w:sz w:val="20"/>
                <w:szCs w:val="20"/>
              </w:rPr>
              <w:t>includes</w:t>
            </w:r>
            <w:r w:rsidRPr="00436535">
              <w:rPr>
                <w:rFonts w:cstheme="minorHAnsi"/>
                <w:sz w:val="20"/>
                <w:szCs w:val="20"/>
              </w:rPr>
              <w:t xml:space="preserve"> supermarket chain and non-chain and fruit and vegetable markets.</w:t>
            </w:r>
          </w:p>
        </w:tc>
        <w:tc>
          <w:tcPr>
            <w:tcW w:w="1952" w:type="dxa"/>
          </w:tcPr>
          <w:p w14:paraId="0FAEF8AB" w14:textId="77777777" w:rsidR="00FE1779" w:rsidRPr="00436535" w:rsidRDefault="00FE1779" w:rsidP="004D40F9">
            <w:pPr>
              <w:pStyle w:val="ListParagraph"/>
              <w:ind w:left="0"/>
              <w:rPr>
                <w:rFonts w:cstheme="minorHAnsi"/>
                <w:sz w:val="20"/>
                <w:szCs w:val="20"/>
              </w:rPr>
            </w:pPr>
          </w:p>
        </w:tc>
      </w:tr>
      <w:tr w:rsidR="00FE1779" w:rsidRPr="006E751A" w14:paraId="3902566B" w14:textId="77777777" w:rsidTr="00604541">
        <w:tc>
          <w:tcPr>
            <w:tcW w:w="977" w:type="dxa"/>
          </w:tcPr>
          <w:p w14:paraId="3B8FB1EE" w14:textId="376F5550"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157</w:t>
            </w:r>
          </w:p>
        </w:tc>
        <w:tc>
          <w:tcPr>
            <w:tcW w:w="1903" w:type="dxa"/>
          </w:tcPr>
          <w:p w14:paraId="12A9C41E" w14:textId="7FD2C034"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ASD</w:t>
            </w:r>
            <w:r w:rsidRPr="00436535">
              <w:rPr>
                <w:rFonts w:cstheme="minorHAnsi"/>
                <w:sz w:val="20"/>
                <w:szCs w:val="20"/>
              </w:rPr>
              <w:t>UNFAV</w:t>
            </w:r>
          </w:p>
        </w:tc>
        <w:tc>
          <w:tcPr>
            <w:tcW w:w="5788" w:type="dxa"/>
          </w:tcPr>
          <w:p w14:paraId="15D55F69" w14:textId="65D0D02F"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unfavorable food stores including alcohol</w:t>
            </w:r>
            <w:r>
              <w:rPr>
                <w:rFonts w:cstheme="minorHAnsi"/>
                <w:sz w:val="20"/>
                <w:szCs w:val="20"/>
              </w:rPr>
              <w:t xml:space="preserve"> outlets (meters)</w:t>
            </w:r>
            <w:r w:rsidRPr="00436535">
              <w:rPr>
                <w:rFonts w:cstheme="minorHAnsi"/>
                <w:sz w:val="20"/>
                <w:szCs w:val="20"/>
              </w:rPr>
              <w:t xml:space="preserv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liquor stores, drinking places alcoholic, fast food chains, and fast food non-chain.</w:t>
            </w:r>
          </w:p>
        </w:tc>
        <w:tc>
          <w:tcPr>
            <w:tcW w:w="1952" w:type="dxa"/>
          </w:tcPr>
          <w:p w14:paraId="35B9EE93" w14:textId="77777777" w:rsidR="00FE1779" w:rsidRPr="00436535" w:rsidRDefault="00FE1779" w:rsidP="004D40F9">
            <w:pPr>
              <w:pStyle w:val="ListParagraph"/>
              <w:ind w:left="0"/>
              <w:rPr>
                <w:rFonts w:cstheme="minorHAnsi"/>
                <w:sz w:val="20"/>
                <w:szCs w:val="20"/>
              </w:rPr>
            </w:pPr>
          </w:p>
        </w:tc>
      </w:tr>
      <w:tr w:rsidR="00FE1779" w:rsidRPr="006E751A" w14:paraId="4AD66164" w14:textId="77777777" w:rsidTr="00604541">
        <w:tc>
          <w:tcPr>
            <w:tcW w:w="977" w:type="dxa"/>
          </w:tcPr>
          <w:p w14:paraId="0CB012A5" w14:textId="45289ECD"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158</w:t>
            </w:r>
          </w:p>
        </w:tc>
        <w:tc>
          <w:tcPr>
            <w:tcW w:w="1903" w:type="dxa"/>
          </w:tcPr>
          <w:p w14:paraId="59C7F4B8" w14:textId="53247F2E"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ASD</w:t>
            </w:r>
            <w:r w:rsidRPr="00436535">
              <w:rPr>
                <w:rFonts w:cstheme="minorHAnsi"/>
                <w:sz w:val="20"/>
                <w:szCs w:val="20"/>
              </w:rPr>
              <w:t>UNFAVFO</w:t>
            </w:r>
          </w:p>
        </w:tc>
        <w:tc>
          <w:tcPr>
            <w:tcW w:w="5788" w:type="dxa"/>
          </w:tcPr>
          <w:p w14:paraId="67041A32" w14:textId="1DED2D12"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unfavorable food stores excluding alcohol</w:t>
            </w:r>
            <w:r>
              <w:rPr>
                <w:rFonts w:cstheme="minorHAnsi"/>
                <w:sz w:val="20"/>
                <w:szCs w:val="20"/>
              </w:rPr>
              <w:t xml:space="preserve"> (meters)</w:t>
            </w:r>
            <w:r w:rsidRPr="00436535">
              <w:rPr>
                <w:rFonts w:cstheme="minorHAnsi"/>
                <w:sz w:val="20"/>
                <w:szCs w:val="20"/>
              </w:rPr>
              <w:t xml:space="preserve">.  This </w:t>
            </w:r>
            <w:r>
              <w:rPr>
                <w:rFonts w:cstheme="minorHAnsi"/>
                <w:sz w:val="20"/>
                <w:szCs w:val="20"/>
              </w:rPr>
              <w:t xml:space="preserve">includes </w:t>
            </w:r>
            <w:r w:rsidRPr="00436535">
              <w:rPr>
                <w:rFonts w:cstheme="minorHAnsi"/>
                <w:sz w:val="20"/>
                <w:szCs w:val="20"/>
              </w:rPr>
              <w:t>convenience stores, bakeries/nuts/candy/ice cream</w:t>
            </w:r>
            <w:r>
              <w:rPr>
                <w:rFonts w:cstheme="minorHAnsi"/>
                <w:sz w:val="20"/>
                <w:szCs w:val="20"/>
              </w:rPr>
              <w:t xml:space="preserve"> stores</w:t>
            </w:r>
            <w:r w:rsidRPr="00436535">
              <w:rPr>
                <w:rFonts w:cstheme="minorHAnsi"/>
                <w:sz w:val="20"/>
                <w:szCs w:val="20"/>
              </w:rPr>
              <w:t>, fast food chains, and fast food non-chain.</w:t>
            </w:r>
          </w:p>
        </w:tc>
        <w:tc>
          <w:tcPr>
            <w:tcW w:w="1952" w:type="dxa"/>
          </w:tcPr>
          <w:p w14:paraId="236DEAD3" w14:textId="77777777" w:rsidR="00FE1779" w:rsidRPr="00436535" w:rsidRDefault="00FE1779" w:rsidP="004D40F9">
            <w:pPr>
              <w:pStyle w:val="ListParagraph"/>
              <w:ind w:left="0"/>
              <w:rPr>
                <w:rFonts w:cstheme="minorHAnsi"/>
                <w:sz w:val="20"/>
                <w:szCs w:val="20"/>
              </w:rPr>
            </w:pPr>
          </w:p>
        </w:tc>
      </w:tr>
      <w:tr w:rsidR="00FE1779" w:rsidRPr="006E751A" w14:paraId="5A96D536" w14:textId="77777777" w:rsidTr="00604541">
        <w:tc>
          <w:tcPr>
            <w:tcW w:w="977" w:type="dxa"/>
          </w:tcPr>
          <w:p w14:paraId="73263EC3" w14:textId="4260F5EA" w:rsidR="00FE1779" w:rsidRDefault="00FE1779" w:rsidP="00FE1779">
            <w:pPr>
              <w:tabs>
                <w:tab w:val="center" w:pos="6480"/>
              </w:tabs>
              <w:autoSpaceDE w:val="0"/>
              <w:autoSpaceDN w:val="0"/>
              <w:adjustRightInd w:val="0"/>
              <w:rPr>
                <w:rFonts w:cs="SAS Monospace"/>
                <w:sz w:val="20"/>
                <w:szCs w:val="20"/>
              </w:rPr>
            </w:pPr>
            <w:r>
              <w:rPr>
                <w:rFonts w:cs="SAS Monospace"/>
                <w:sz w:val="20"/>
                <w:szCs w:val="20"/>
              </w:rPr>
              <w:t>159</w:t>
            </w:r>
          </w:p>
        </w:tc>
        <w:tc>
          <w:tcPr>
            <w:tcW w:w="1903" w:type="dxa"/>
          </w:tcPr>
          <w:p w14:paraId="1D42A3D8" w14:textId="3A2FDDF4"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ASDTOTFOOD</w:t>
            </w:r>
          </w:p>
        </w:tc>
        <w:tc>
          <w:tcPr>
            <w:tcW w:w="5788" w:type="dxa"/>
          </w:tcPr>
          <w:p w14:paraId="2094699E" w14:textId="3CA57105" w:rsidR="00FE1779" w:rsidRDefault="00FE1779" w:rsidP="00FE1779">
            <w:pPr>
              <w:tabs>
                <w:tab w:val="center" w:pos="6480"/>
              </w:tabs>
              <w:autoSpaceDE w:val="0"/>
              <w:autoSpaceDN w:val="0"/>
              <w:adjustRightInd w:val="0"/>
              <w:rPr>
                <w:rFonts w:cstheme="minorHAnsi"/>
                <w:sz w:val="20"/>
                <w:szCs w:val="20"/>
              </w:rPr>
            </w:pPr>
            <w:r>
              <w:rPr>
                <w:rFonts w:cstheme="minorHAnsi"/>
                <w:sz w:val="20"/>
                <w:szCs w:val="20"/>
              </w:rPr>
              <w:t xml:space="preserve">Euclidean distance to nearest total food stores (meters).  </w:t>
            </w:r>
            <w:r w:rsidRPr="00436535">
              <w:rPr>
                <w:rFonts w:cstheme="minorHAnsi"/>
                <w:sz w:val="20"/>
                <w:szCs w:val="20"/>
              </w:rPr>
              <w:t xml:space="preserve">This </w:t>
            </w:r>
            <w:r>
              <w:rPr>
                <w:rFonts w:cstheme="minorHAnsi"/>
                <w:sz w:val="20"/>
                <w:szCs w:val="20"/>
              </w:rPr>
              <w:t>includes any business coded as a food store</w:t>
            </w:r>
            <w:r w:rsidRPr="00436535">
              <w:rPr>
                <w:rFonts w:cstheme="minorHAnsi"/>
                <w:sz w:val="20"/>
                <w:szCs w:val="20"/>
              </w:rPr>
              <w:t>.</w:t>
            </w:r>
          </w:p>
        </w:tc>
        <w:tc>
          <w:tcPr>
            <w:tcW w:w="1952" w:type="dxa"/>
          </w:tcPr>
          <w:p w14:paraId="78A48532" w14:textId="77777777" w:rsidR="00FE1779" w:rsidRPr="00436535" w:rsidRDefault="00FE1779" w:rsidP="004D40F9">
            <w:pPr>
              <w:pStyle w:val="ListParagraph"/>
              <w:ind w:left="0"/>
              <w:rPr>
                <w:rFonts w:cstheme="minorHAnsi"/>
                <w:sz w:val="20"/>
                <w:szCs w:val="20"/>
              </w:rPr>
            </w:pPr>
          </w:p>
        </w:tc>
      </w:tr>
      <w:tr w:rsidR="00CE4BB7" w:rsidRPr="006E751A" w14:paraId="750FADDB" w14:textId="77777777" w:rsidTr="00604541">
        <w:tc>
          <w:tcPr>
            <w:tcW w:w="977" w:type="dxa"/>
          </w:tcPr>
          <w:p w14:paraId="7A0F7E84" w14:textId="77777777" w:rsidR="00CE4BB7" w:rsidRDefault="00CE4BB7" w:rsidP="00FE1779">
            <w:pPr>
              <w:tabs>
                <w:tab w:val="center" w:pos="6480"/>
              </w:tabs>
              <w:autoSpaceDE w:val="0"/>
              <w:autoSpaceDN w:val="0"/>
              <w:adjustRightInd w:val="0"/>
              <w:rPr>
                <w:rFonts w:cs="SAS Monospace"/>
                <w:sz w:val="20"/>
                <w:szCs w:val="20"/>
              </w:rPr>
            </w:pPr>
          </w:p>
        </w:tc>
        <w:tc>
          <w:tcPr>
            <w:tcW w:w="1903" w:type="dxa"/>
          </w:tcPr>
          <w:p w14:paraId="3F7582EB" w14:textId="77777777" w:rsidR="00CE4BB7" w:rsidRPr="00436535" w:rsidRDefault="00CE4BB7" w:rsidP="00FE1779">
            <w:pPr>
              <w:tabs>
                <w:tab w:val="center" w:pos="6480"/>
              </w:tabs>
              <w:autoSpaceDE w:val="0"/>
              <w:autoSpaceDN w:val="0"/>
              <w:adjustRightInd w:val="0"/>
              <w:rPr>
                <w:rFonts w:cstheme="minorHAnsi"/>
                <w:sz w:val="20"/>
                <w:szCs w:val="20"/>
              </w:rPr>
            </w:pPr>
          </w:p>
        </w:tc>
        <w:tc>
          <w:tcPr>
            <w:tcW w:w="5788" w:type="dxa"/>
          </w:tcPr>
          <w:p w14:paraId="1A2C39AE" w14:textId="77777777" w:rsidR="00CE4BB7" w:rsidRPr="00436535" w:rsidRDefault="00CE4BB7" w:rsidP="008F7492">
            <w:pPr>
              <w:tabs>
                <w:tab w:val="center" w:pos="6480"/>
              </w:tabs>
              <w:autoSpaceDE w:val="0"/>
              <w:autoSpaceDN w:val="0"/>
              <w:adjustRightInd w:val="0"/>
              <w:rPr>
                <w:rFonts w:cstheme="minorHAnsi"/>
                <w:sz w:val="20"/>
                <w:szCs w:val="20"/>
              </w:rPr>
            </w:pPr>
          </w:p>
        </w:tc>
        <w:tc>
          <w:tcPr>
            <w:tcW w:w="1952" w:type="dxa"/>
          </w:tcPr>
          <w:p w14:paraId="2DAD868D" w14:textId="77777777" w:rsidR="00CE4BB7" w:rsidRPr="00436535" w:rsidRDefault="00CE4BB7" w:rsidP="004D40F9">
            <w:pPr>
              <w:pStyle w:val="ListParagraph"/>
              <w:ind w:left="0"/>
              <w:rPr>
                <w:rFonts w:cstheme="minorHAnsi"/>
                <w:sz w:val="20"/>
                <w:szCs w:val="20"/>
              </w:rPr>
            </w:pPr>
          </w:p>
        </w:tc>
      </w:tr>
      <w:tr w:rsidR="00CE4BB7" w:rsidRPr="006E751A" w14:paraId="41BD80A7" w14:textId="77777777" w:rsidTr="00D4068B">
        <w:tc>
          <w:tcPr>
            <w:tcW w:w="10620" w:type="dxa"/>
            <w:gridSpan w:val="4"/>
          </w:tcPr>
          <w:p w14:paraId="3CBD3596" w14:textId="3183E4E6" w:rsidR="00CE4BB7" w:rsidRPr="00CE4BB7" w:rsidRDefault="00CE4BB7" w:rsidP="004D40F9">
            <w:pPr>
              <w:pStyle w:val="ListParagraph"/>
              <w:ind w:left="0"/>
              <w:rPr>
                <w:rFonts w:cstheme="minorHAnsi"/>
                <w:b/>
                <w:sz w:val="20"/>
                <w:szCs w:val="20"/>
              </w:rPr>
            </w:pPr>
            <w:r w:rsidRPr="00CE4BB7">
              <w:rPr>
                <w:rFonts w:cs="SAS Monospace"/>
                <w:b/>
                <w:sz w:val="20"/>
                <w:szCs w:val="20"/>
              </w:rPr>
              <w:t>RECREATIONAL/PHYSICAL ACTIVITY FACILITIES</w:t>
            </w:r>
          </w:p>
        </w:tc>
      </w:tr>
      <w:tr w:rsidR="008F7492" w:rsidRPr="006E751A" w14:paraId="7ACC23D3" w14:textId="77777777" w:rsidTr="00604541">
        <w:tc>
          <w:tcPr>
            <w:tcW w:w="977" w:type="dxa"/>
          </w:tcPr>
          <w:p w14:paraId="09EDEE94" w14:textId="04876166"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160</w:t>
            </w:r>
          </w:p>
        </w:tc>
        <w:tc>
          <w:tcPr>
            <w:tcW w:w="1903" w:type="dxa"/>
          </w:tcPr>
          <w:p w14:paraId="07E64CE8" w14:textId="5B133454" w:rsidR="008F7492" w:rsidRDefault="008F7492" w:rsidP="00FE1779">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PAI</w:t>
            </w:r>
          </w:p>
        </w:tc>
        <w:tc>
          <w:tcPr>
            <w:tcW w:w="5788" w:type="dxa"/>
          </w:tcPr>
          <w:p w14:paraId="2921090B" w14:textId="4B029DD8" w:rsidR="008F7492"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364BDA4" w14:textId="77777777" w:rsidR="008F7492" w:rsidRPr="00436535" w:rsidRDefault="008F7492" w:rsidP="004D40F9">
            <w:pPr>
              <w:pStyle w:val="ListParagraph"/>
              <w:ind w:left="0"/>
              <w:rPr>
                <w:rFonts w:cstheme="minorHAnsi"/>
                <w:sz w:val="20"/>
                <w:szCs w:val="20"/>
              </w:rPr>
            </w:pPr>
          </w:p>
        </w:tc>
      </w:tr>
      <w:tr w:rsidR="008F7492" w:rsidRPr="006E751A" w14:paraId="45E6BDC4" w14:textId="77777777" w:rsidTr="00604541">
        <w:tc>
          <w:tcPr>
            <w:tcW w:w="977" w:type="dxa"/>
          </w:tcPr>
          <w:p w14:paraId="6375EF8C" w14:textId="243BA7B6"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161</w:t>
            </w:r>
          </w:p>
        </w:tc>
        <w:tc>
          <w:tcPr>
            <w:tcW w:w="1903" w:type="dxa"/>
          </w:tcPr>
          <w:p w14:paraId="3E73AEF8" w14:textId="0ED014FA" w:rsidR="008F7492" w:rsidRPr="00436535" w:rsidRDefault="008F7492" w:rsidP="00FE1779">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IPAI</w:t>
            </w:r>
          </w:p>
        </w:tc>
        <w:tc>
          <w:tcPr>
            <w:tcW w:w="5788" w:type="dxa"/>
          </w:tcPr>
          <w:p w14:paraId="770C2327" w14:textId="5FC1817A"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 xml:space="preserve">Indoor all physical activity facilities (indoor </w:t>
            </w:r>
            <w:r>
              <w:rPr>
                <w:rFonts w:cstheme="minorHAnsi"/>
                <w:sz w:val="20"/>
                <w:szCs w:val="20"/>
              </w:rPr>
              <w:lastRenderedPageBreak/>
              <w:t>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27AD7ED0" w14:textId="77777777" w:rsidR="008F7492" w:rsidRPr="00436535" w:rsidRDefault="008F7492" w:rsidP="004D40F9">
            <w:pPr>
              <w:pStyle w:val="ListParagraph"/>
              <w:ind w:left="0"/>
              <w:rPr>
                <w:rFonts w:cstheme="minorHAnsi"/>
                <w:sz w:val="20"/>
                <w:szCs w:val="20"/>
              </w:rPr>
            </w:pPr>
          </w:p>
        </w:tc>
      </w:tr>
      <w:tr w:rsidR="008F7492" w:rsidRPr="006E751A" w14:paraId="4161EA05" w14:textId="77777777" w:rsidTr="00604541">
        <w:tc>
          <w:tcPr>
            <w:tcW w:w="977" w:type="dxa"/>
          </w:tcPr>
          <w:p w14:paraId="4324AD95" w14:textId="5499833F"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lastRenderedPageBreak/>
              <w:t>162</w:t>
            </w:r>
          </w:p>
        </w:tc>
        <w:tc>
          <w:tcPr>
            <w:tcW w:w="1903" w:type="dxa"/>
          </w:tcPr>
          <w:p w14:paraId="7123F98E" w14:textId="204CF49C" w:rsidR="008F7492" w:rsidRPr="00436535" w:rsidRDefault="008F7492" w:rsidP="00FE1779">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OPAI</w:t>
            </w:r>
          </w:p>
        </w:tc>
        <w:tc>
          <w:tcPr>
            <w:tcW w:w="5788" w:type="dxa"/>
          </w:tcPr>
          <w:p w14:paraId="0C29A0EB" w14:textId="07FD9FE0"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340F133D" w14:textId="77777777" w:rsidR="008F7492" w:rsidRPr="00436535" w:rsidRDefault="008F7492" w:rsidP="004D40F9">
            <w:pPr>
              <w:pStyle w:val="ListParagraph"/>
              <w:ind w:left="0"/>
              <w:rPr>
                <w:rFonts w:cstheme="minorHAnsi"/>
                <w:sz w:val="20"/>
                <w:szCs w:val="20"/>
              </w:rPr>
            </w:pPr>
          </w:p>
        </w:tc>
      </w:tr>
      <w:tr w:rsidR="008F7492" w:rsidRPr="006E751A" w14:paraId="62670218" w14:textId="77777777" w:rsidTr="00604541">
        <w:tc>
          <w:tcPr>
            <w:tcW w:w="977" w:type="dxa"/>
          </w:tcPr>
          <w:p w14:paraId="68204389" w14:textId="55E20B13"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163</w:t>
            </w:r>
          </w:p>
        </w:tc>
        <w:tc>
          <w:tcPr>
            <w:tcW w:w="1903" w:type="dxa"/>
          </w:tcPr>
          <w:p w14:paraId="38CBDA67" w14:textId="30AF6AC8"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NRI</w:t>
            </w:r>
          </w:p>
        </w:tc>
        <w:tc>
          <w:tcPr>
            <w:tcW w:w="5788" w:type="dxa"/>
          </w:tcPr>
          <w:p w14:paraId="7F867004" w14:textId="0A6C7C8B"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6384380C" w14:textId="77777777" w:rsidR="008F7492" w:rsidRPr="00436535" w:rsidRDefault="008F7492" w:rsidP="004D40F9">
            <w:pPr>
              <w:pStyle w:val="ListParagraph"/>
              <w:ind w:left="0"/>
              <w:rPr>
                <w:rFonts w:cstheme="minorHAnsi"/>
                <w:sz w:val="20"/>
                <w:szCs w:val="20"/>
              </w:rPr>
            </w:pPr>
          </w:p>
        </w:tc>
      </w:tr>
      <w:tr w:rsidR="008F7492" w:rsidRPr="006E751A" w14:paraId="6161847F" w14:textId="77777777" w:rsidTr="00604541">
        <w:tc>
          <w:tcPr>
            <w:tcW w:w="977" w:type="dxa"/>
          </w:tcPr>
          <w:p w14:paraId="127ABECD" w14:textId="340E59C9"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164</w:t>
            </w:r>
          </w:p>
        </w:tc>
        <w:tc>
          <w:tcPr>
            <w:tcW w:w="1903" w:type="dxa"/>
          </w:tcPr>
          <w:p w14:paraId="09F68655" w14:textId="25973B47"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INRI</w:t>
            </w:r>
          </w:p>
        </w:tc>
        <w:tc>
          <w:tcPr>
            <w:tcW w:w="5788" w:type="dxa"/>
          </w:tcPr>
          <w:p w14:paraId="518C25C6" w14:textId="35C9E2AB"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891EDEE" w14:textId="77777777" w:rsidR="008F7492" w:rsidRPr="00436535" w:rsidRDefault="008F7492" w:rsidP="004D40F9">
            <w:pPr>
              <w:pStyle w:val="ListParagraph"/>
              <w:ind w:left="0"/>
              <w:rPr>
                <w:rFonts w:cstheme="minorHAnsi"/>
                <w:sz w:val="20"/>
                <w:szCs w:val="20"/>
              </w:rPr>
            </w:pPr>
          </w:p>
        </w:tc>
      </w:tr>
      <w:tr w:rsidR="008F7492" w:rsidRPr="006E751A" w14:paraId="47E5E202" w14:textId="77777777" w:rsidTr="00604541">
        <w:tc>
          <w:tcPr>
            <w:tcW w:w="977" w:type="dxa"/>
          </w:tcPr>
          <w:p w14:paraId="0F36B8D6" w14:textId="574640D1"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165</w:t>
            </w:r>
          </w:p>
        </w:tc>
        <w:tc>
          <w:tcPr>
            <w:tcW w:w="1903" w:type="dxa"/>
          </w:tcPr>
          <w:p w14:paraId="415DB08D" w14:textId="3D3178E1"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K0</w:t>
            </w:r>
            <w:r>
              <w:rPr>
                <w:rFonts w:cstheme="minorHAnsi"/>
                <w:sz w:val="20"/>
                <w:szCs w:val="20"/>
              </w:rPr>
              <w:t>ONRI</w:t>
            </w:r>
          </w:p>
        </w:tc>
        <w:tc>
          <w:tcPr>
            <w:tcW w:w="5788" w:type="dxa"/>
          </w:tcPr>
          <w:p w14:paraId="424ADDA6" w14:textId="2C97D69C" w:rsidR="008F7492" w:rsidRPr="00436535" w:rsidRDefault="008F7492" w:rsidP="008F7492">
            <w:pPr>
              <w:tabs>
                <w:tab w:val="center" w:pos="6480"/>
              </w:tabs>
              <w:autoSpaceDE w:val="0"/>
              <w:autoSpaceDN w:val="0"/>
              <w:adjustRightInd w:val="0"/>
              <w:rPr>
                <w:rFonts w:cstheme="minorHAnsi"/>
                <w:sz w:val="20"/>
                <w:szCs w:val="20"/>
              </w:rPr>
            </w:pPr>
            <w:r w:rsidRPr="00436535">
              <w:rPr>
                <w:rFonts w:cstheme="minorHAnsi"/>
                <w:sz w:val="20"/>
                <w:szCs w:val="20"/>
              </w:rPr>
              <w:t xml:space="preserve">1/2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D260DA2" w14:textId="77777777" w:rsidR="008F7492" w:rsidRPr="00436535" w:rsidRDefault="008F7492" w:rsidP="004D40F9">
            <w:pPr>
              <w:pStyle w:val="ListParagraph"/>
              <w:ind w:left="0"/>
              <w:rPr>
                <w:rFonts w:cstheme="minorHAnsi"/>
                <w:sz w:val="20"/>
                <w:szCs w:val="20"/>
              </w:rPr>
            </w:pPr>
          </w:p>
        </w:tc>
      </w:tr>
      <w:tr w:rsidR="008F7492" w:rsidRPr="006E751A" w14:paraId="2C68C933" w14:textId="77777777" w:rsidTr="00604541">
        <w:tc>
          <w:tcPr>
            <w:tcW w:w="977" w:type="dxa"/>
          </w:tcPr>
          <w:p w14:paraId="63E70A4C" w14:textId="183EEBD7" w:rsidR="008F7492" w:rsidRDefault="008F7492" w:rsidP="00FE1779">
            <w:pPr>
              <w:tabs>
                <w:tab w:val="center" w:pos="6480"/>
              </w:tabs>
              <w:autoSpaceDE w:val="0"/>
              <w:autoSpaceDN w:val="0"/>
              <w:adjustRightInd w:val="0"/>
              <w:rPr>
                <w:rFonts w:cs="SAS Monospace"/>
                <w:sz w:val="20"/>
                <w:szCs w:val="20"/>
              </w:rPr>
            </w:pPr>
            <w:r>
              <w:rPr>
                <w:rFonts w:cs="SAS Monospace"/>
                <w:sz w:val="20"/>
                <w:szCs w:val="20"/>
              </w:rPr>
              <w:t>166</w:t>
            </w:r>
          </w:p>
        </w:tc>
        <w:tc>
          <w:tcPr>
            <w:tcW w:w="1903" w:type="dxa"/>
          </w:tcPr>
          <w:p w14:paraId="3182EE5C" w14:textId="40EA43FD"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PAI</w:t>
            </w:r>
          </w:p>
        </w:tc>
        <w:tc>
          <w:tcPr>
            <w:tcW w:w="5788" w:type="dxa"/>
          </w:tcPr>
          <w:p w14:paraId="06FF16B8" w14:textId="6CCFB67B"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317356A" w14:textId="77777777" w:rsidR="008F7492" w:rsidRPr="00436535" w:rsidRDefault="008F7492" w:rsidP="004D40F9">
            <w:pPr>
              <w:pStyle w:val="ListParagraph"/>
              <w:ind w:left="0"/>
              <w:rPr>
                <w:rFonts w:cstheme="minorHAnsi"/>
                <w:sz w:val="20"/>
                <w:szCs w:val="20"/>
              </w:rPr>
            </w:pPr>
          </w:p>
        </w:tc>
      </w:tr>
      <w:tr w:rsidR="008F7492" w:rsidRPr="006E751A" w14:paraId="227728C6" w14:textId="77777777" w:rsidTr="00604541">
        <w:tc>
          <w:tcPr>
            <w:tcW w:w="977" w:type="dxa"/>
          </w:tcPr>
          <w:p w14:paraId="31052AC9" w14:textId="5B82D079" w:rsidR="008F7492" w:rsidRDefault="008F7492" w:rsidP="008F7492">
            <w:pPr>
              <w:tabs>
                <w:tab w:val="center" w:pos="6480"/>
              </w:tabs>
              <w:autoSpaceDE w:val="0"/>
              <w:autoSpaceDN w:val="0"/>
              <w:adjustRightInd w:val="0"/>
              <w:rPr>
                <w:rFonts w:cs="SAS Monospace"/>
                <w:sz w:val="20"/>
                <w:szCs w:val="20"/>
              </w:rPr>
            </w:pPr>
            <w:r>
              <w:rPr>
                <w:rFonts w:cs="SAS Monospace"/>
                <w:sz w:val="20"/>
                <w:szCs w:val="20"/>
              </w:rPr>
              <w:t>167</w:t>
            </w:r>
          </w:p>
        </w:tc>
        <w:tc>
          <w:tcPr>
            <w:tcW w:w="1903" w:type="dxa"/>
          </w:tcPr>
          <w:p w14:paraId="2E47377D" w14:textId="4484A7E5"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IPAI</w:t>
            </w:r>
          </w:p>
        </w:tc>
        <w:tc>
          <w:tcPr>
            <w:tcW w:w="5788" w:type="dxa"/>
          </w:tcPr>
          <w:p w14:paraId="7D288169" w14:textId="3029D249"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5F99288" w14:textId="77777777" w:rsidR="008F7492" w:rsidRPr="00436535" w:rsidRDefault="008F7492" w:rsidP="004D40F9">
            <w:pPr>
              <w:pStyle w:val="ListParagraph"/>
              <w:ind w:left="0"/>
              <w:rPr>
                <w:rFonts w:cstheme="minorHAnsi"/>
                <w:sz w:val="20"/>
                <w:szCs w:val="20"/>
              </w:rPr>
            </w:pPr>
          </w:p>
        </w:tc>
      </w:tr>
      <w:tr w:rsidR="008F7492" w:rsidRPr="006E751A" w14:paraId="45646A94" w14:textId="77777777" w:rsidTr="00604541">
        <w:tc>
          <w:tcPr>
            <w:tcW w:w="977" w:type="dxa"/>
          </w:tcPr>
          <w:p w14:paraId="477F3DD1" w14:textId="19E4FF9F" w:rsidR="008F7492" w:rsidRDefault="008F7492" w:rsidP="008F7492">
            <w:pPr>
              <w:tabs>
                <w:tab w:val="center" w:pos="6480"/>
              </w:tabs>
              <w:autoSpaceDE w:val="0"/>
              <w:autoSpaceDN w:val="0"/>
              <w:adjustRightInd w:val="0"/>
              <w:rPr>
                <w:rFonts w:cs="SAS Monospace"/>
                <w:sz w:val="20"/>
                <w:szCs w:val="20"/>
              </w:rPr>
            </w:pPr>
            <w:r>
              <w:rPr>
                <w:rFonts w:cs="SAS Monospace"/>
                <w:sz w:val="20"/>
                <w:szCs w:val="20"/>
              </w:rPr>
              <w:t>168</w:t>
            </w:r>
          </w:p>
        </w:tc>
        <w:tc>
          <w:tcPr>
            <w:tcW w:w="1903" w:type="dxa"/>
          </w:tcPr>
          <w:p w14:paraId="7773518A" w14:textId="012F32C9"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OPAI</w:t>
            </w:r>
          </w:p>
        </w:tc>
        <w:tc>
          <w:tcPr>
            <w:tcW w:w="5788" w:type="dxa"/>
          </w:tcPr>
          <w:p w14:paraId="1E0C1A70" w14:textId="0ABBE918"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15F058A" w14:textId="77777777" w:rsidR="008F7492" w:rsidRPr="00436535" w:rsidRDefault="008F7492" w:rsidP="004D40F9">
            <w:pPr>
              <w:pStyle w:val="ListParagraph"/>
              <w:ind w:left="0"/>
              <w:rPr>
                <w:rFonts w:cstheme="minorHAnsi"/>
                <w:sz w:val="20"/>
                <w:szCs w:val="20"/>
              </w:rPr>
            </w:pPr>
          </w:p>
        </w:tc>
      </w:tr>
      <w:tr w:rsidR="008F7492" w:rsidRPr="006E751A" w14:paraId="6A41E688" w14:textId="77777777" w:rsidTr="00604541">
        <w:tc>
          <w:tcPr>
            <w:tcW w:w="977" w:type="dxa"/>
          </w:tcPr>
          <w:p w14:paraId="3010C383" w14:textId="254D79C1" w:rsidR="008F7492" w:rsidRDefault="008F7492" w:rsidP="008F7492">
            <w:pPr>
              <w:tabs>
                <w:tab w:val="center" w:pos="6480"/>
              </w:tabs>
              <w:autoSpaceDE w:val="0"/>
              <w:autoSpaceDN w:val="0"/>
              <w:adjustRightInd w:val="0"/>
              <w:rPr>
                <w:rFonts w:cs="SAS Monospace"/>
                <w:sz w:val="20"/>
                <w:szCs w:val="20"/>
              </w:rPr>
            </w:pPr>
            <w:r>
              <w:rPr>
                <w:rFonts w:cs="SAS Monospace"/>
                <w:sz w:val="20"/>
                <w:szCs w:val="20"/>
              </w:rPr>
              <w:t>169</w:t>
            </w:r>
          </w:p>
        </w:tc>
        <w:tc>
          <w:tcPr>
            <w:tcW w:w="1903" w:type="dxa"/>
          </w:tcPr>
          <w:p w14:paraId="0E2951FC" w14:textId="284494F7"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NRI</w:t>
            </w:r>
          </w:p>
        </w:tc>
        <w:tc>
          <w:tcPr>
            <w:tcW w:w="5788" w:type="dxa"/>
          </w:tcPr>
          <w:p w14:paraId="623AD868" w14:textId="6A1395E1"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68CFFE7" w14:textId="77777777" w:rsidR="008F7492" w:rsidRPr="00436535" w:rsidRDefault="008F7492" w:rsidP="004D40F9">
            <w:pPr>
              <w:pStyle w:val="ListParagraph"/>
              <w:ind w:left="0"/>
              <w:rPr>
                <w:rFonts w:cstheme="minorHAnsi"/>
                <w:sz w:val="20"/>
                <w:szCs w:val="20"/>
              </w:rPr>
            </w:pPr>
          </w:p>
        </w:tc>
      </w:tr>
      <w:tr w:rsidR="008F7492" w:rsidRPr="006E751A" w14:paraId="490C6C2B" w14:textId="77777777" w:rsidTr="00604541">
        <w:tc>
          <w:tcPr>
            <w:tcW w:w="977" w:type="dxa"/>
          </w:tcPr>
          <w:p w14:paraId="7EB59F58" w14:textId="0C69C3E4" w:rsidR="008F7492" w:rsidRDefault="008F7492" w:rsidP="008F7492">
            <w:pPr>
              <w:tabs>
                <w:tab w:val="center" w:pos="6480"/>
              </w:tabs>
              <w:autoSpaceDE w:val="0"/>
              <w:autoSpaceDN w:val="0"/>
              <w:adjustRightInd w:val="0"/>
              <w:rPr>
                <w:rFonts w:cs="SAS Monospace"/>
                <w:sz w:val="20"/>
                <w:szCs w:val="20"/>
              </w:rPr>
            </w:pPr>
            <w:r>
              <w:rPr>
                <w:rFonts w:cs="SAS Monospace"/>
                <w:sz w:val="20"/>
                <w:szCs w:val="20"/>
              </w:rPr>
              <w:t>170</w:t>
            </w:r>
          </w:p>
        </w:tc>
        <w:tc>
          <w:tcPr>
            <w:tcW w:w="1903" w:type="dxa"/>
          </w:tcPr>
          <w:p w14:paraId="18AEDE0B" w14:textId="3F9E93D2"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INRI</w:t>
            </w:r>
          </w:p>
        </w:tc>
        <w:tc>
          <w:tcPr>
            <w:tcW w:w="5788" w:type="dxa"/>
          </w:tcPr>
          <w:p w14:paraId="07891534" w14:textId="4199B754"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30FF3120" w14:textId="77777777" w:rsidR="008F7492" w:rsidRPr="00436535" w:rsidRDefault="008F7492" w:rsidP="004D40F9">
            <w:pPr>
              <w:pStyle w:val="ListParagraph"/>
              <w:ind w:left="0"/>
              <w:rPr>
                <w:rFonts w:cstheme="minorHAnsi"/>
                <w:sz w:val="20"/>
                <w:szCs w:val="20"/>
              </w:rPr>
            </w:pPr>
          </w:p>
        </w:tc>
      </w:tr>
      <w:tr w:rsidR="008F7492" w:rsidRPr="006E751A" w14:paraId="1CCF3088" w14:textId="77777777" w:rsidTr="00604541">
        <w:tc>
          <w:tcPr>
            <w:tcW w:w="977" w:type="dxa"/>
          </w:tcPr>
          <w:p w14:paraId="645DDC85" w14:textId="508CAB90" w:rsidR="008F7492" w:rsidRDefault="008F7492" w:rsidP="008F7492">
            <w:pPr>
              <w:tabs>
                <w:tab w:val="center" w:pos="6480"/>
              </w:tabs>
              <w:autoSpaceDE w:val="0"/>
              <w:autoSpaceDN w:val="0"/>
              <w:adjustRightInd w:val="0"/>
              <w:rPr>
                <w:rFonts w:cs="SAS Monospace"/>
                <w:sz w:val="20"/>
                <w:szCs w:val="20"/>
              </w:rPr>
            </w:pPr>
            <w:r>
              <w:rPr>
                <w:rFonts w:cs="SAS Monospace"/>
                <w:sz w:val="20"/>
                <w:szCs w:val="20"/>
              </w:rPr>
              <w:t>171</w:t>
            </w:r>
          </w:p>
        </w:tc>
        <w:tc>
          <w:tcPr>
            <w:tcW w:w="1903" w:type="dxa"/>
          </w:tcPr>
          <w:p w14:paraId="7FE1CBE7" w14:textId="411AFBC4"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K0</w:t>
            </w:r>
            <w:r>
              <w:rPr>
                <w:rFonts w:cstheme="minorHAnsi"/>
                <w:sz w:val="20"/>
                <w:szCs w:val="20"/>
              </w:rPr>
              <w:t>ONRI</w:t>
            </w:r>
          </w:p>
        </w:tc>
        <w:tc>
          <w:tcPr>
            <w:tcW w:w="5788" w:type="dxa"/>
          </w:tcPr>
          <w:p w14:paraId="14586B36" w14:textId="43395768" w:rsidR="008F7492" w:rsidRPr="00436535" w:rsidRDefault="008F7492" w:rsidP="008F7492">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F15A7B3" w14:textId="77777777" w:rsidR="008F7492" w:rsidRPr="00436535" w:rsidRDefault="008F7492" w:rsidP="004D40F9">
            <w:pPr>
              <w:pStyle w:val="ListParagraph"/>
              <w:ind w:left="0"/>
              <w:rPr>
                <w:rFonts w:cstheme="minorHAnsi"/>
                <w:sz w:val="20"/>
                <w:szCs w:val="20"/>
              </w:rPr>
            </w:pPr>
          </w:p>
        </w:tc>
      </w:tr>
      <w:tr w:rsidR="00776A73" w:rsidRPr="006E751A" w14:paraId="0A740383" w14:textId="77777777" w:rsidTr="00604541">
        <w:tc>
          <w:tcPr>
            <w:tcW w:w="977" w:type="dxa"/>
          </w:tcPr>
          <w:p w14:paraId="4C5F2799" w14:textId="11157DC6"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172</w:t>
            </w:r>
          </w:p>
        </w:tc>
        <w:tc>
          <w:tcPr>
            <w:tcW w:w="1903" w:type="dxa"/>
          </w:tcPr>
          <w:p w14:paraId="797F029A" w14:textId="516C254B" w:rsidR="00776A73"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1PAI</w:t>
            </w:r>
          </w:p>
        </w:tc>
        <w:tc>
          <w:tcPr>
            <w:tcW w:w="5788" w:type="dxa"/>
          </w:tcPr>
          <w:p w14:paraId="1893CEF9" w14:textId="66469332" w:rsidR="00776A73"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977F80D" w14:textId="77777777" w:rsidR="00776A73" w:rsidRPr="00436535" w:rsidRDefault="00776A73" w:rsidP="004D40F9">
            <w:pPr>
              <w:pStyle w:val="ListParagraph"/>
              <w:ind w:left="0"/>
              <w:rPr>
                <w:rFonts w:cstheme="minorHAnsi"/>
                <w:sz w:val="20"/>
                <w:szCs w:val="20"/>
              </w:rPr>
            </w:pPr>
          </w:p>
        </w:tc>
      </w:tr>
      <w:tr w:rsidR="00776A73" w:rsidRPr="006E751A" w14:paraId="26B11B8F" w14:textId="77777777" w:rsidTr="00604541">
        <w:tc>
          <w:tcPr>
            <w:tcW w:w="977" w:type="dxa"/>
          </w:tcPr>
          <w:p w14:paraId="4CCD4AF9" w14:textId="43F0D5E4"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173</w:t>
            </w:r>
          </w:p>
        </w:tc>
        <w:tc>
          <w:tcPr>
            <w:tcW w:w="1903" w:type="dxa"/>
          </w:tcPr>
          <w:p w14:paraId="7AC2015A" w14:textId="0DA65EDA"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1IPAI</w:t>
            </w:r>
          </w:p>
        </w:tc>
        <w:tc>
          <w:tcPr>
            <w:tcW w:w="5788" w:type="dxa"/>
          </w:tcPr>
          <w:p w14:paraId="7FBAE429" w14:textId="626AD9DD"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sidRPr="00436535">
              <w:rPr>
                <w:rFonts w:cstheme="minorHAnsi"/>
                <w:sz w:val="20"/>
                <w:szCs w:val="20"/>
              </w:rPr>
              <w:lastRenderedPageBreak/>
              <w:t>facilities per square mile.</w:t>
            </w:r>
          </w:p>
        </w:tc>
        <w:tc>
          <w:tcPr>
            <w:tcW w:w="1952" w:type="dxa"/>
          </w:tcPr>
          <w:p w14:paraId="3FCFEC82" w14:textId="77777777" w:rsidR="00776A73" w:rsidRPr="00436535" w:rsidRDefault="00776A73" w:rsidP="004D40F9">
            <w:pPr>
              <w:pStyle w:val="ListParagraph"/>
              <w:ind w:left="0"/>
              <w:rPr>
                <w:rFonts w:cstheme="minorHAnsi"/>
                <w:sz w:val="20"/>
                <w:szCs w:val="20"/>
              </w:rPr>
            </w:pPr>
          </w:p>
        </w:tc>
      </w:tr>
      <w:tr w:rsidR="00776A73" w:rsidRPr="006E751A" w14:paraId="22C8A8CD" w14:textId="77777777" w:rsidTr="00604541">
        <w:tc>
          <w:tcPr>
            <w:tcW w:w="977" w:type="dxa"/>
          </w:tcPr>
          <w:p w14:paraId="42E9C6B8" w14:textId="094A6B5E"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lastRenderedPageBreak/>
              <w:t>174</w:t>
            </w:r>
          </w:p>
        </w:tc>
        <w:tc>
          <w:tcPr>
            <w:tcW w:w="1903" w:type="dxa"/>
          </w:tcPr>
          <w:p w14:paraId="1D7954B1" w14:textId="7CCA0ED3"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1OPAI</w:t>
            </w:r>
          </w:p>
        </w:tc>
        <w:tc>
          <w:tcPr>
            <w:tcW w:w="5788" w:type="dxa"/>
          </w:tcPr>
          <w:p w14:paraId="52B2C797" w14:textId="2F990C59"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2F9FDC06" w14:textId="77777777" w:rsidR="00776A73" w:rsidRPr="00436535" w:rsidRDefault="00776A73" w:rsidP="004D40F9">
            <w:pPr>
              <w:pStyle w:val="ListParagraph"/>
              <w:ind w:left="0"/>
              <w:rPr>
                <w:rFonts w:cstheme="minorHAnsi"/>
                <w:sz w:val="20"/>
                <w:szCs w:val="20"/>
              </w:rPr>
            </w:pPr>
          </w:p>
        </w:tc>
      </w:tr>
      <w:tr w:rsidR="00776A73" w:rsidRPr="006E751A" w14:paraId="08C1088F" w14:textId="77777777" w:rsidTr="00604541">
        <w:tc>
          <w:tcPr>
            <w:tcW w:w="977" w:type="dxa"/>
          </w:tcPr>
          <w:p w14:paraId="70859242" w14:textId="50D51559"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175</w:t>
            </w:r>
          </w:p>
        </w:tc>
        <w:tc>
          <w:tcPr>
            <w:tcW w:w="1903" w:type="dxa"/>
          </w:tcPr>
          <w:p w14:paraId="4F48F2AD" w14:textId="4C231886"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1NRI</w:t>
            </w:r>
          </w:p>
        </w:tc>
        <w:tc>
          <w:tcPr>
            <w:tcW w:w="5788" w:type="dxa"/>
          </w:tcPr>
          <w:p w14:paraId="3C92A4B3" w14:textId="7174B0B4"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60C5364D" w14:textId="77777777" w:rsidR="00776A73" w:rsidRPr="00436535" w:rsidRDefault="00776A73" w:rsidP="004D40F9">
            <w:pPr>
              <w:pStyle w:val="ListParagraph"/>
              <w:ind w:left="0"/>
              <w:rPr>
                <w:rFonts w:cstheme="minorHAnsi"/>
                <w:sz w:val="20"/>
                <w:szCs w:val="20"/>
              </w:rPr>
            </w:pPr>
          </w:p>
        </w:tc>
      </w:tr>
      <w:tr w:rsidR="00776A73" w:rsidRPr="006E751A" w14:paraId="2BB6D85D" w14:textId="77777777" w:rsidTr="00604541">
        <w:tc>
          <w:tcPr>
            <w:tcW w:w="977" w:type="dxa"/>
          </w:tcPr>
          <w:p w14:paraId="735374F2" w14:textId="7F71BF8F"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176</w:t>
            </w:r>
          </w:p>
        </w:tc>
        <w:tc>
          <w:tcPr>
            <w:tcW w:w="1903" w:type="dxa"/>
          </w:tcPr>
          <w:p w14:paraId="63BA5A2E" w14:textId="1D7CDF74"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1INRI</w:t>
            </w:r>
          </w:p>
        </w:tc>
        <w:tc>
          <w:tcPr>
            <w:tcW w:w="5788" w:type="dxa"/>
          </w:tcPr>
          <w:p w14:paraId="7F2270B2" w14:textId="265C85DF"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674A62A2" w14:textId="77777777" w:rsidR="00776A73" w:rsidRPr="00436535" w:rsidRDefault="00776A73" w:rsidP="004D40F9">
            <w:pPr>
              <w:pStyle w:val="ListParagraph"/>
              <w:ind w:left="0"/>
              <w:rPr>
                <w:rFonts w:cstheme="minorHAnsi"/>
                <w:sz w:val="20"/>
                <w:szCs w:val="20"/>
              </w:rPr>
            </w:pPr>
          </w:p>
        </w:tc>
      </w:tr>
      <w:tr w:rsidR="00776A73" w:rsidRPr="006E751A" w14:paraId="42DFC058" w14:textId="77777777" w:rsidTr="00604541">
        <w:tc>
          <w:tcPr>
            <w:tcW w:w="977" w:type="dxa"/>
          </w:tcPr>
          <w:p w14:paraId="1FB7FDAF" w14:textId="46888A63"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177</w:t>
            </w:r>
          </w:p>
        </w:tc>
        <w:tc>
          <w:tcPr>
            <w:tcW w:w="1903" w:type="dxa"/>
          </w:tcPr>
          <w:p w14:paraId="708BE15D" w14:textId="2749BB63" w:rsidR="00776A73" w:rsidRPr="00436535" w:rsidRDefault="00776A73" w:rsidP="008F7492">
            <w:pPr>
              <w:tabs>
                <w:tab w:val="center" w:pos="6480"/>
              </w:tabs>
              <w:autoSpaceDE w:val="0"/>
              <w:autoSpaceDN w:val="0"/>
              <w:adjustRightInd w:val="0"/>
              <w:rPr>
                <w:rFonts w:cstheme="minorHAnsi"/>
                <w:sz w:val="20"/>
                <w:szCs w:val="20"/>
              </w:rPr>
            </w:pPr>
            <w:r>
              <w:rPr>
                <w:rFonts w:cstheme="minorHAnsi"/>
                <w:sz w:val="20"/>
                <w:szCs w:val="20"/>
              </w:rPr>
              <w:t>K1ONRI</w:t>
            </w:r>
          </w:p>
        </w:tc>
        <w:tc>
          <w:tcPr>
            <w:tcW w:w="5788" w:type="dxa"/>
          </w:tcPr>
          <w:p w14:paraId="41518EDE" w14:textId="58251030" w:rsidR="00776A73" w:rsidRPr="00436535" w:rsidRDefault="00776A73" w:rsidP="00776A73">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0E2ABA5" w14:textId="77777777" w:rsidR="00776A73" w:rsidRPr="00436535" w:rsidRDefault="00776A73" w:rsidP="004D40F9">
            <w:pPr>
              <w:pStyle w:val="ListParagraph"/>
              <w:ind w:left="0"/>
              <w:rPr>
                <w:rFonts w:cstheme="minorHAnsi"/>
                <w:sz w:val="20"/>
                <w:szCs w:val="20"/>
              </w:rPr>
            </w:pPr>
          </w:p>
        </w:tc>
      </w:tr>
      <w:tr w:rsidR="00776A73" w:rsidRPr="006E751A" w14:paraId="3BAFC8C6" w14:textId="77777777" w:rsidTr="00604541">
        <w:tc>
          <w:tcPr>
            <w:tcW w:w="977" w:type="dxa"/>
          </w:tcPr>
          <w:p w14:paraId="54C96D9D" w14:textId="7F31D1A7"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178</w:t>
            </w:r>
          </w:p>
        </w:tc>
        <w:tc>
          <w:tcPr>
            <w:tcW w:w="1903" w:type="dxa"/>
          </w:tcPr>
          <w:p w14:paraId="4E7EF261" w14:textId="37E46A5A" w:rsidR="00776A73" w:rsidRPr="00436535"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1PAI</w:t>
            </w:r>
          </w:p>
        </w:tc>
        <w:tc>
          <w:tcPr>
            <w:tcW w:w="5788" w:type="dxa"/>
          </w:tcPr>
          <w:p w14:paraId="772564FA" w14:textId="74F9297E" w:rsidR="00776A73" w:rsidRPr="00436535"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09FC0AE" w14:textId="77777777" w:rsidR="00776A73" w:rsidRPr="00436535" w:rsidRDefault="00776A73" w:rsidP="004D40F9">
            <w:pPr>
              <w:pStyle w:val="ListParagraph"/>
              <w:ind w:left="0"/>
              <w:rPr>
                <w:rFonts w:cstheme="minorHAnsi"/>
                <w:sz w:val="20"/>
                <w:szCs w:val="20"/>
              </w:rPr>
            </w:pPr>
          </w:p>
        </w:tc>
      </w:tr>
      <w:tr w:rsidR="00776A73" w:rsidRPr="006E751A" w14:paraId="1DB599E0" w14:textId="77777777" w:rsidTr="00604541">
        <w:tc>
          <w:tcPr>
            <w:tcW w:w="977" w:type="dxa"/>
          </w:tcPr>
          <w:p w14:paraId="711A2BEE" w14:textId="3544DDC4"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179</w:t>
            </w:r>
          </w:p>
        </w:tc>
        <w:tc>
          <w:tcPr>
            <w:tcW w:w="1903" w:type="dxa"/>
          </w:tcPr>
          <w:p w14:paraId="141442FF" w14:textId="15B9C5C8"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1IPAI</w:t>
            </w:r>
          </w:p>
        </w:tc>
        <w:tc>
          <w:tcPr>
            <w:tcW w:w="5788" w:type="dxa"/>
          </w:tcPr>
          <w:p w14:paraId="685AFBF0" w14:textId="59E540FC"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5801516" w14:textId="77777777" w:rsidR="00776A73" w:rsidRPr="00436535" w:rsidRDefault="00776A73" w:rsidP="004D40F9">
            <w:pPr>
              <w:pStyle w:val="ListParagraph"/>
              <w:ind w:left="0"/>
              <w:rPr>
                <w:rFonts w:cstheme="minorHAnsi"/>
                <w:sz w:val="20"/>
                <w:szCs w:val="20"/>
              </w:rPr>
            </w:pPr>
          </w:p>
        </w:tc>
      </w:tr>
      <w:tr w:rsidR="00776A73" w:rsidRPr="006E751A" w14:paraId="288C7B76" w14:textId="77777777" w:rsidTr="00604541">
        <w:tc>
          <w:tcPr>
            <w:tcW w:w="977" w:type="dxa"/>
          </w:tcPr>
          <w:p w14:paraId="4E72F1AF" w14:textId="2DFC89D6"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180</w:t>
            </w:r>
          </w:p>
        </w:tc>
        <w:tc>
          <w:tcPr>
            <w:tcW w:w="1903" w:type="dxa"/>
          </w:tcPr>
          <w:p w14:paraId="2AAEA583" w14:textId="12E538A4"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1OPAI</w:t>
            </w:r>
          </w:p>
        </w:tc>
        <w:tc>
          <w:tcPr>
            <w:tcW w:w="5788" w:type="dxa"/>
          </w:tcPr>
          <w:p w14:paraId="09104B64" w14:textId="25FEBF95"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128E2AA" w14:textId="77777777" w:rsidR="00776A73" w:rsidRPr="00436535" w:rsidRDefault="00776A73" w:rsidP="004D40F9">
            <w:pPr>
              <w:pStyle w:val="ListParagraph"/>
              <w:ind w:left="0"/>
              <w:rPr>
                <w:rFonts w:cstheme="minorHAnsi"/>
                <w:sz w:val="20"/>
                <w:szCs w:val="20"/>
              </w:rPr>
            </w:pPr>
          </w:p>
        </w:tc>
      </w:tr>
      <w:tr w:rsidR="00776A73" w:rsidRPr="006E751A" w14:paraId="6627E485" w14:textId="77777777" w:rsidTr="00604541">
        <w:tc>
          <w:tcPr>
            <w:tcW w:w="977" w:type="dxa"/>
          </w:tcPr>
          <w:p w14:paraId="2727DA3F" w14:textId="4C40A438"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181</w:t>
            </w:r>
          </w:p>
        </w:tc>
        <w:tc>
          <w:tcPr>
            <w:tcW w:w="1903" w:type="dxa"/>
          </w:tcPr>
          <w:p w14:paraId="3EEC7456" w14:textId="7EBA9AC8"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1NRI</w:t>
            </w:r>
          </w:p>
        </w:tc>
        <w:tc>
          <w:tcPr>
            <w:tcW w:w="5788" w:type="dxa"/>
          </w:tcPr>
          <w:p w14:paraId="1037CBBB" w14:textId="39086FDA"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78F7929" w14:textId="77777777" w:rsidR="00776A73" w:rsidRPr="00436535" w:rsidRDefault="00776A73" w:rsidP="004D40F9">
            <w:pPr>
              <w:pStyle w:val="ListParagraph"/>
              <w:ind w:left="0"/>
              <w:rPr>
                <w:rFonts w:cstheme="minorHAnsi"/>
                <w:sz w:val="20"/>
                <w:szCs w:val="20"/>
              </w:rPr>
            </w:pPr>
          </w:p>
        </w:tc>
      </w:tr>
      <w:tr w:rsidR="00776A73" w:rsidRPr="006E751A" w14:paraId="52F53CDA" w14:textId="77777777" w:rsidTr="00604541">
        <w:tc>
          <w:tcPr>
            <w:tcW w:w="977" w:type="dxa"/>
          </w:tcPr>
          <w:p w14:paraId="118374C7" w14:textId="66E8CB23"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182</w:t>
            </w:r>
          </w:p>
        </w:tc>
        <w:tc>
          <w:tcPr>
            <w:tcW w:w="1903" w:type="dxa"/>
          </w:tcPr>
          <w:p w14:paraId="7B23B2D5" w14:textId="57D0D521"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1INRI</w:t>
            </w:r>
          </w:p>
        </w:tc>
        <w:tc>
          <w:tcPr>
            <w:tcW w:w="5788" w:type="dxa"/>
          </w:tcPr>
          <w:p w14:paraId="23908C98" w14:textId="13B7C4EE"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B6E5664" w14:textId="77777777" w:rsidR="00776A73" w:rsidRPr="00436535" w:rsidRDefault="00776A73" w:rsidP="004D40F9">
            <w:pPr>
              <w:pStyle w:val="ListParagraph"/>
              <w:ind w:left="0"/>
              <w:rPr>
                <w:rFonts w:cstheme="minorHAnsi"/>
                <w:sz w:val="20"/>
                <w:szCs w:val="20"/>
              </w:rPr>
            </w:pPr>
          </w:p>
        </w:tc>
      </w:tr>
      <w:tr w:rsidR="00776A73" w:rsidRPr="006E751A" w14:paraId="734F1E8B" w14:textId="77777777" w:rsidTr="00604541">
        <w:tc>
          <w:tcPr>
            <w:tcW w:w="977" w:type="dxa"/>
          </w:tcPr>
          <w:p w14:paraId="482F27B0" w14:textId="0BC5F2E8" w:rsidR="00776A73" w:rsidRDefault="00776A73" w:rsidP="00776A73">
            <w:pPr>
              <w:tabs>
                <w:tab w:val="center" w:pos="6480"/>
              </w:tabs>
              <w:autoSpaceDE w:val="0"/>
              <w:autoSpaceDN w:val="0"/>
              <w:adjustRightInd w:val="0"/>
              <w:rPr>
                <w:rFonts w:cs="SAS Monospace"/>
                <w:sz w:val="20"/>
                <w:szCs w:val="20"/>
              </w:rPr>
            </w:pPr>
            <w:r>
              <w:rPr>
                <w:rFonts w:cs="SAS Monospace"/>
                <w:sz w:val="20"/>
                <w:szCs w:val="20"/>
              </w:rPr>
              <w:t>183</w:t>
            </w:r>
          </w:p>
        </w:tc>
        <w:tc>
          <w:tcPr>
            <w:tcW w:w="1903" w:type="dxa"/>
          </w:tcPr>
          <w:p w14:paraId="54126BD2" w14:textId="018D312D"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1ONRI</w:t>
            </w:r>
          </w:p>
        </w:tc>
        <w:tc>
          <w:tcPr>
            <w:tcW w:w="5788" w:type="dxa"/>
          </w:tcPr>
          <w:p w14:paraId="61BF2BCE" w14:textId="0C0AA3EC" w:rsidR="00776A73" w:rsidRDefault="00776A73" w:rsidP="00776A73">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E0079D7" w14:textId="77777777" w:rsidR="00776A73" w:rsidRPr="00436535" w:rsidRDefault="00776A73" w:rsidP="004D40F9">
            <w:pPr>
              <w:pStyle w:val="ListParagraph"/>
              <w:ind w:left="0"/>
              <w:rPr>
                <w:rFonts w:cstheme="minorHAnsi"/>
                <w:sz w:val="20"/>
                <w:szCs w:val="20"/>
              </w:rPr>
            </w:pPr>
          </w:p>
        </w:tc>
      </w:tr>
      <w:tr w:rsidR="00CF12A6" w:rsidRPr="006E751A" w14:paraId="1AF5F066" w14:textId="77777777" w:rsidTr="00604541">
        <w:tc>
          <w:tcPr>
            <w:tcW w:w="977" w:type="dxa"/>
          </w:tcPr>
          <w:p w14:paraId="7EBCAC8A" w14:textId="0F8EBA19" w:rsidR="00CF12A6" w:rsidRDefault="00CF12A6" w:rsidP="00776A73">
            <w:pPr>
              <w:tabs>
                <w:tab w:val="center" w:pos="6480"/>
              </w:tabs>
              <w:autoSpaceDE w:val="0"/>
              <w:autoSpaceDN w:val="0"/>
              <w:adjustRightInd w:val="0"/>
              <w:rPr>
                <w:rFonts w:cs="SAS Monospace"/>
                <w:sz w:val="20"/>
                <w:szCs w:val="20"/>
              </w:rPr>
            </w:pPr>
            <w:r>
              <w:rPr>
                <w:rFonts w:cs="SAS Monospace"/>
                <w:sz w:val="20"/>
                <w:szCs w:val="20"/>
              </w:rPr>
              <w:t>184</w:t>
            </w:r>
          </w:p>
        </w:tc>
        <w:tc>
          <w:tcPr>
            <w:tcW w:w="1903" w:type="dxa"/>
          </w:tcPr>
          <w:p w14:paraId="2734155B" w14:textId="3C55C009" w:rsidR="00CF12A6" w:rsidRDefault="00CF12A6" w:rsidP="00CF12A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3PAI</w:t>
            </w:r>
          </w:p>
        </w:tc>
        <w:tc>
          <w:tcPr>
            <w:tcW w:w="5788" w:type="dxa"/>
          </w:tcPr>
          <w:p w14:paraId="14241B34" w14:textId="7A99F6ED" w:rsidR="00CF12A6"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83456E2" w14:textId="77777777" w:rsidR="00CF12A6" w:rsidRPr="00436535" w:rsidRDefault="00CF12A6" w:rsidP="004D40F9">
            <w:pPr>
              <w:pStyle w:val="ListParagraph"/>
              <w:ind w:left="0"/>
              <w:rPr>
                <w:rFonts w:cstheme="minorHAnsi"/>
                <w:sz w:val="20"/>
                <w:szCs w:val="20"/>
              </w:rPr>
            </w:pPr>
          </w:p>
        </w:tc>
      </w:tr>
      <w:tr w:rsidR="00CF12A6" w:rsidRPr="006E751A" w14:paraId="282E6077" w14:textId="77777777" w:rsidTr="00604541">
        <w:tc>
          <w:tcPr>
            <w:tcW w:w="977" w:type="dxa"/>
          </w:tcPr>
          <w:p w14:paraId="22AC542A" w14:textId="1AEB8C8F"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185</w:t>
            </w:r>
          </w:p>
        </w:tc>
        <w:tc>
          <w:tcPr>
            <w:tcW w:w="1903" w:type="dxa"/>
          </w:tcPr>
          <w:p w14:paraId="4825A2F4" w14:textId="083CA7AA" w:rsidR="00CF12A6" w:rsidRPr="00436535" w:rsidRDefault="00CF12A6" w:rsidP="00CF12A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3IPAI</w:t>
            </w:r>
          </w:p>
        </w:tc>
        <w:tc>
          <w:tcPr>
            <w:tcW w:w="5788" w:type="dxa"/>
          </w:tcPr>
          <w:p w14:paraId="66E9405B" w14:textId="7C07B665" w:rsidR="00CF12A6" w:rsidRPr="00436535"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D56DB79" w14:textId="77777777" w:rsidR="00CF12A6" w:rsidRPr="00436535" w:rsidRDefault="00CF12A6" w:rsidP="004D40F9">
            <w:pPr>
              <w:pStyle w:val="ListParagraph"/>
              <w:ind w:left="0"/>
              <w:rPr>
                <w:rFonts w:cstheme="minorHAnsi"/>
                <w:sz w:val="20"/>
                <w:szCs w:val="20"/>
              </w:rPr>
            </w:pPr>
          </w:p>
        </w:tc>
      </w:tr>
      <w:tr w:rsidR="00CF12A6" w:rsidRPr="006E751A" w14:paraId="1076C81A" w14:textId="77777777" w:rsidTr="00604541">
        <w:tc>
          <w:tcPr>
            <w:tcW w:w="977" w:type="dxa"/>
          </w:tcPr>
          <w:p w14:paraId="28510306" w14:textId="512A79EF"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186</w:t>
            </w:r>
          </w:p>
        </w:tc>
        <w:tc>
          <w:tcPr>
            <w:tcW w:w="1903" w:type="dxa"/>
          </w:tcPr>
          <w:p w14:paraId="46EDD1A0" w14:textId="1402B44F" w:rsidR="00CF12A6" w:rsidRPr="00436535" w:rsidRDefault="00CF12A6" w:rsidP="00CF12A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3OPAI</w:t>
            </w:r>
          </w:p>
        </w:tc>
        <w:tc>
          <w:tcPr>
            <w:tcW w:w="5788" w:type="dxa"/>
          </w:tcPr>
          <w:p w14:paraId="2C8FB5CD" w14:textId="1A2672E2" w:rsidR="00CF12A6" w:rsidRPr="00436535"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 xml:space="preserve">all Outdoor physical activity facilities </w:t>
            </w:r>
            <w:r>
              <w:rPr>
                <w:rFonts w:cstheme="minorHAnsi"/>
                <w:sz w:val="20"/>
                <w:szCs w:val="20"/>
              </w:rPr>
              <w:lastRenderedPageBreak/>
              <w:t>(recreational,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203E48AD" w14:textId="77777777" w:rsidR="00CF12A6" w:rsidRPr="00436535" w:rsidRDefault="00CF12A6" w:rsidP="004D40F9">
            <w:pPr>
              <w:pStyle w:val="ListParagraph"/>
              <w:ind w:left="0"/>
              <w:rPr>
                <w:rFonts w:cstheme="minorHAnsi"/>
                <w:sz w:val="20"/>
                <w:szCs w:val="20"/>
              </w:rPr>
            </w:pPr>
          </w:p>
        </w:tc>
      </w:tr>
      <w:tr w:rsidR="00CF12A6" w:rsidRPr="006E751A" w14:paraId="71145CCC" w14:textId="77777777" w:rsidTr="00604541">
        <w:tc>
          <w:tcPr>
            <w:tcW w:w="977" w:type="dxa"/>
          </w:tcPr>
          <w:p w14:paraId="6A89173A" w14:textId="55C52ED1"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lastRenderedPageBreak/>
              <w:t>187</w:t>
            </w:r>
          </w:p>
        </w:tc>
        <w:tc>
          <w:tcPr>
            <w:tcW w:w="1903" w:type="dxa"/>
          </w:tcPr>
          <w:p w14:paraId="284D07C7" w14:textId="47BA92B7" w:rsidR="00CF12A6" w:rsidRPr="00436535" w:rsidRDefault="00CF12A6" w:rsidP="00CF12A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3NRI</w:t>
            </w:r>
          </w:p>
        </w:tc>
        <w:tc>
          <w:tcPr>
            <w:tcW w:w="5788" w:type="dxa"/>
          </w:tcPr>
          <w:p w14:paraId="2E3032DD" w14:textId="72DD8F02" w:rsidR="00CF12A6" w:rsidRPr="00436535"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A1C0C66" w14:textId="77777777" w:rsidR="00CF12A6" w:rsidRPr="00436535" w:rsidRDefault="00CF12A6" w:rsidP="004D40F9">
            <w:pPr>
              <w:pStyle w:val="ListParagraph"/>
              <w:ind w:left="0"/>
              <w:rPr>
                <w:rFonts w:cstheme="minorHAnsi"/>
                <w:sz w:val="20"/>
                <w:szCs w:val="20"/>
              </w:rPr>
            </w:pPr>
          </w:p>
        </w:tc>
      </w:tr>
      <w:tr w:rsidR="00CF12A6" w:rsidRPr="006E751A" w14:paraId="58230CF7" w14:textId="77777777" w:rsidTr="00604541">
        <w:tc>
          <w:tcPr>
            <w:tcW w:w="977" w:type="dxa"/>
          </w:tcPr>
          <w:p w14:paraId="5D951C96" w14:textId="1781A051"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188</w:t>
            </w:r>
          </w:p>
        </w:tc>
        <w:tc>
          <w:tcPr>
            <w:tcW w:w="1903" w:type="dxa"/>
          </w:tcPr>
          <w:p w14:paraId="3C76832E" w14:textId="2D16141D" w:rsidR="00CF12A6" w:rsidRPr="00436535" w:rsidRDefault="00CF12A6" w:rsidP="00CF12A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3INRI</w:t>
            </w:r>
          </w:p>
        </w:tc>
        <w:tc>
          <w:tcPr>
            <w:tcW w:w="5788" w:type="dxa"/>
          </w:tcPr>
          <w:p w14:paraId="299349A3" w14:textId="1BE03E0F" w:rsidR="00CF12A6" w:rsidRPr="00436535"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27CC876" w14:textId="77777777" w:rsidR="00CF12A6" w:rsidRPr="00436535" w:rsidRDefault="00CF12A6" w:rsidP="004D40F9">
            <w:pPr>
              <w:pStyle w:val="ListParagraph"/>
              <w:ind w:left="0"/>
              <w:rPr>
                <w:rFonts w:cstheme="minorHAnsi"/>
                <w:sz w:val="20"/>
                <w:szCs w:val="20"/>
              </w:rPr>
            </w:pPr>
          </w:p>
        </w:tc>
      </w:tr>
      <w:tr w:rsidR="00CF12A6" w:rsidRPr="006E751A" w14:paraId="209444DD" w14:textId="77777777" w:rsidTr="00604541">
        <w:tc>
          <w:tcPr>
            <w:tcW w:w="977" w:type="dxa"/>
          </w:tcPr>
          <w:p w14:paraId="08BDA7F0" w14:textId="04B98DFC"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189</w:t>
            </w:r>
          </w:p>
        </w:tc>
        <w:tc>
          <w:tcPr>
            <w:tcW w:w="1903" w:type="dxa"/>
          </w:tcPr>
          <w:p w14:paraId="6EE04E9E" w14:textId="601506AA" w:rsidR="00CF12A6" w:rsidRPr="00436535" w:rsidRDefault="00CF12A6" w:rsidP="00CF12A6">
            <w:pPr>
              <w:tabs>
                <w:tab w:val="center" w:pos="6480"/>
              </w:tabs>
              <w:autoSpaceDE w:val="0"/>
              <w:autoSpaceDN w:val="0"/>
              <w:adjustRightInd w:val="0"/>
              <w:rPr>
                <w:rFonts w:cstheme="minorHAnsi"/>
                <w:sz w:val="20"/>
                <w:szCs w:val="20"/>
              </w:rPr>
            </w:pPr>
            <w:r>
              <w:rPr>
                <w:rFonts w:cstheme="minorHAnsi"/>
                <w:sz w:val="20"/>
                <w:szCs w:val="20"/>
              </w:rPr>
              <w:t>K3ONRI</w:t>
            </w:r>
          </w:p>
        </w:tc>
        <w:tc>
          <w:tcPr>
            <w:tcW w:w="5788" w:type="dxa"/>
          </w:tcPr>
          <w:p w14:paraId="2E34F896" w14:textId="19938DC6" w:rsidR="00CF12A6" w:rsidRPr="00436535" w:rsidRDefault="00CF12A6" w:rsidP="00776A7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1316FA1" w14:textId="77777777" w:rsidR="00CF12A6" w:rsidRPr="00436535" w:rsidRDefault="00CF12A6" w:rsidP="004D40F9">
            <w:pPr>
              <w:pStyle w:val="ListParagraph"/>
              <w:ind w:left="0"/>
              <w:rPr>
                <w:rFonts w:cstheme="minorHAnsi"/>
                <w:sz w:val="20"/>
                <w:szCs w:val="20"/>
              </w:rPr>
            </w:pPr>
          </w:p>
        </w:tc>
      </w:tr>
      <w:tr w:rsidR="00CF12A6" w:rsidRPr="006E751A" w14:paraId="5A99820C" w14:textId="77777777" w:rsidTr="00604541">
        <w:tc>
          <w:tcPr>
            <w:tcW w:w="977" w:type="dxa"/>
          </w:tcPr>
          <w:p w14:paraId="59C0D719" w14:textId="5D88A96D"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190</w:t>
            </w:r>
          </w:p>
        </w:tc>
        <w:tc>
          <w:tcPr>
            <w:tcW w:w="1903" w:type="dxa"/>
          </w:tcPr>
          <w:p w14:paraId="5608B4F8" w14:textId="42A43735"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3PAI</w:t>
            </w:r>
          </w:p>
        </w:tc>
        <w:tc>
          <w:tcPr>
            <w:tcW w:w="5788" w:type="dxa"/>
          </w:tcPr>
          <w:p w14:paraId="27137499" w14:textId="1F86E130" w:rsidR="00CF12A6" w:rsidRPr="00436535"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306CD7A4" w14:textId="77777777" w:rsidR="00CF12A6" w:rsidRPr="00436535" w:rsidRDefault="00CF12A6" w:rsidP="004D40F9">
            <w:pPr>
              <w:pStyle w:val="ListParagraph"/>
              <w:ind w:left="0"/>
              <w:rPr>
                <w:rFonts w:cstheme="minorHAnsi"/>
                <w:sz w:val="20"/>
                <w:szCs w:val="20"/>
              </w:rPr>
            </w:pPr>
          </w:p>
        </w:tc>
      </w:tr>
      <w:tr w:rsidR="00CF12A6" w:rsidRPr="006E751A" w14:paraId="692B9E59" w14:textId="77777777" w:rsidTr="00604541">
        <w:tc>
          <w:tcPr>
            <w:tcW w:w="977" w:type="dxa"/>
          </w:tcPr>
          <w:p w14:paraId="2D54F4CB" w14:textId="5ED8B33B"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191</w:t>
            </w:r>
          </w:p>
        </w:tc>
        <w:tc>
          <w:tcPr>
            <w:tcW w:w="1903" w:type="dxa"/>
          </w:tcPr>
          <w:p w14:paraId="2F3FE4B7" w14:textId="1479AD28"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3IPAI</w:t>
            </w:r>
          </w:p>
        </w:tc>
        <w:tc>
          <w:tcPr>
            <w:tcW w:w="5788" w:type="dxa"/>
          </w:tcPr>
          <w:p w14:paraId="41361992" w14:textId="33FC8F44"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37FCEC1" w14:textId="77777777" w:rsidR="00CF12A6" w:rsidRPr="00436535" w:rsidRDefault="00CF12A6" w:rsidP="004D40F9">
            <w:pPr>
              <w:pStyle w:val="ListParagraph"/>
              <w:ind w:left="0"/>
              <w:rPr>
                <w:rFonts w:cstheme="minorHAnsi"/>
                <w:sz w:val="20"/>
                <w:szCs w:val="20"/>
              </w:rPr>
            </w:pPr>
          </w:p>
        </w:tc>
      </w:tr>
      <w:tr w:rsidR="00CF12A6" w:rsidRPr="006E751A" w14:paraId="232AAF82" w14:textId="77777777" w:rsidTr="00604541">
        <w:tc>
          <w:tcPr>
            <w:tcW w:w="977" w:type="dxa"/>
          </w:tcPr>
          <w:p w14:paraId="2202A0A9" w14:textId="3A60C935"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192</w:t>
            </w:r>
          </w:p>
        </w:tc>
        <w:tc>
          <w:tcPr>
            <w:tcW w:w="1903" w:type="dxa"/>
          </w:tcPr>
          <w:p w14:paraId="59DA304F" w14:textId="1AF48C49"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3OPAI</w:t>
            </w:r>
          </w:p>
        </w:tc>
        <w:tc>
          <w:tcPr>
            <w:tcW w:w="5788" w:type="dxa"/>
          </w:tcPr>
          <w:p w14:paraId="227C3A64" w14:textId="49998995"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2D8D331" w14:textId="77777777" w:rsidR="00CF12A6" w:rsidRPr="00436535" w:rsidRDefault="00CF12A6" w:rsidP="004D40F9">
            <w:pPr>
              <w:pStyle w:val="ListParagraph"/>
              <w:ind w:left="0"/>
              <w:rPr>
                <w:rFonts w:cstheme="minorHAnsi"/>
                <w:sz w:val="20"/>
                <w:szCs w:val="20"/>
              </w:rPr>
            </w:pPr>
          </w:p>
        </w:tc>
      </w:tr>
      <w:tr w:rsidR="00CF12A6" w:rsidRPr="006E751A" w14:paraId="2417674F" w14:textId="77777777" w:rsidTr="00604541">
        <w:tc>
          <w:tcPr>
            <w:tcW w:w="977" w:type="dxa"/>
          </w:tcPr>
          <w:p w14:paraId="273382EE" w14:textId="2E13C9E0"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193</w:t>
            </w:r>
          </w:p>
        </w:tc>
        <w:tc>
          <w:tcPr>
            <w:tcW w:w="1903" w:type="dxa"/>
          </w:tcPr>
          <w:p w14:paraId="7E32B6F4" w14:textId="32B67B33"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3NRI</w:t>
            </w:r>
          </w:p>
        </w:tc>
        <w:tc>
          <w:tcPr>
            <w:tcW w:w="5788" w:type="dxa"/>
          </w:tcPr>
          <w:p w14:paraId="7AA1AE51" w14:textId="223FEDCD"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27A9470C" w14:textId="77777777" w:rsidR="00CF12A6" w:rsidRPr="00436535" w:rsidRDefault="00CF12A6" w:rsidP="004D40F9">
            <w:pPr>
              <w:pStyle w:val="ListParagraph"/>
              <w:ind w:left="0"/>
              <w:rPr>
                <w:rFonts w:cstheme="minorHAnsi"/>
                <w:sz w:val="20"/>
                <w:szCs w:val="20"/>
              </w:rPr>
            </w:pPr>
          </w:p>
        </w:tc>
      </w:tr>
      <w:tr w:rsidR="00CF12A6" w:rsidRPr="006E751A" w14:paraId="2BA05C86" w14:textId="77777777" w:rsidTr="00604541">
        <w:tc>
          <w:tcPr>
            <w:tcW w:w="977" w:type="dxa"/>
          </w:tcPr>
          <w:p w14:paraId="6020802F" w14:textId="48346520"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194</w:t>
            </w:r>
          </w:p>
        </w:tc>
        <w:tc>
          <w:tcPr>
            <w:tcW w:w="1903" w:type="dxa"/>
          </w:tcPr>
          <w:p w14:paraId="59E273D3" w14:textId="1DA13396"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3INRI</w:t>
            </w:r>
          </w:p>
        </w:tc>
        <w:tc>
          <w:tcPr>
            <w:tcW w:w="5788" w:type="dxa"/>
          </w:tcPr>
          <w:p w14:paraId="5F823CF1" w14:textId="09928EB1"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2268DAD8" w14:textId="77777777" w:rsidR="00CF12A6" w:rsidRPr="00436535" w:rsidRDefault="00CF12A6" w:rsidP="004D40F9">
            <w:pPr>
              <w:pStyle w:val="ListParagraph"/>
              <w:ind w:left="0"/>
              <w:rPr>
                <w:rFonts w:cstheme="minorHAnsi"/>
                <w:sz w:val="20"/>
                <w:szCs w:val="20"/>
              </w:rPr>
            </w:pPr>
          </w:p>
        </w:tc>
      </w:tr>
      <w:tr w:rsidR="00CF12A6" w:rsidRPr="006E751A" w14:paraId="04EA7FC2" w14:textId="77777777" w:rsidTr="00604541">
        <w:tc>
          <w:tcPr>
            <w:tcW w:w="977" w:type="dxa"/>
          </w:tcPr>
          <w:p w14:paraId="3E9E6D96" w14:textId="1D1852CC" w:rsidR="00CF12A6" w:rsidRDefault="00CF12A6" w:rsidP="00CF12A6">
            <w:pPr>
              <w:tabs>
                <w:tab w:val="center" w:pos="6480"/>
              </w:tabs>
              <w:autoSpaceDE w:val="0"/>
              <w:autoSpaceDN w:val="0"/>
              <w:adjustRightInd w:val="0"/>
              <w:rPr>
                <w:rFonts w:cs="SAS Monospace"/>
                <w:sz w:val="20"/>
                <w:szCs w:val="20"/>
              </w:rPr>
            </w:pPr>
            <w:r>
              <w:rPr>
                <w:rFonts w:cs="SAS Monospace"/>
                <w:sz w:val="20"/>
                <w:szCs w:val="20"/>
              </w:rPr>
              <w:t>195</w:t>
            </w:r>
          </w:p>
        </w:tc>
        <w:tc>
          <w:tcPr>
            <w:tcW w:w="1903" w:type="dxa"/>
          </w:tcPr>
          <w:p w14:paraId="5EDEE503" w14:textId="4C44D616"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3ONRI</w:t>
            </w:r>
          </w:p>
        </w:tc>
        <w:tc>
          <w:tcPr>
            <w:tcW w:w="5788" w:type="dxa"/>
          </w:tcPr>
          <w:p w14:paraId="280495E8" w14:textId="5678DF23" w:rsidR="00CF12A6" w:rsidRDefault="00CF12A6" w:rsidP="00CF12A6">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2F7BBBF" w14:textId="77777777" w:rsidR="00CF12A6" w:rsidRPr="00436535" w:rsidRDefault="00CF12A6" w:rsidP="004D40F9">
            <w:pPr>
              <w:pStyle w:val="ListParagraph"/>
              <w:ind w:left="0"/>
              <w:rPr>
                <w:rFonts w:cstheme="minorHAnsi"/>
                <w:sz w:val="20"/>
                <w:szCs w:val="20"/>
              </w:rPr>
            </w:pPr>
          </w:p>
        </w:tc>
      </w:tr>
      <w:tr w:rsidR="00FD27BB" w:rsidRPr="006E751A" w14:paraId="42E44451" w14:textId="77777777" w:rsidTr="00604541">
        <w:tc>
          <w:tcPr>
            <w:tcW w:w="977" w:type="dxa"/>
          </w:tcPr>
          <w:p w14:paraId="41ABAAB5" w14:textId="1A45F845" w:rsidR="00FD27BB" w:rsidRDefault="00FD27BB" w:rsidP="00CF12A6">
            <w:pPr>
              <w:tabs>
                <w:tab w:val="center" w:pos="6480"/>
              </w:tabs>
              <w:autoSpaceDE w:val="0"/>
              <w:autoSpaceDN w:val="0"/>
              <w:adjustRightInd w:val="0"/>
              <w:rPr>
                <w:rFonts w:cs="SAS Monospace"/>
                <w:sz w:val="20"/>
                <w:szCs w:val="20"/>
              </w:rPr>
            </w:pPr>
            <w:r>
              <w:rPr>
                <w:rFonts w:cs="SAS Monospace"/>
                <w:sz w:val="20"/>
                <w:szCs w:val="20"/>
              </w:rPr>
              <w:t>196</w:t>
            </w:r>
          </w:p>
        </w:tc>
        <w:tc>
          <w:tcPr>
            <w:tcW w:w="1903" w:type="dxa"/>
          </w:tcPr>
          <w:p w14:paraId="71C0AF4D" w14:textId="6993CBB0" w:rsidR="00FD27BB"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PAI</w:t>
            </w:r>
          </w:p>
        </w:tc>
        <w:tc>
          <w:tcPr>
            <w:tcW w:w="5788" w:type="dxa"/>
          </w:tcPr>
          <w:p w14:paraId="08121D1B" w14:textId="582700DE" w:rsidR="00FD27BB"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9F33926" w14:textId="77777777" w:rsidR="00FD27BB" w:rsidRPr="00436535" w:rsidRDefault="00FD27BB" w:rsidP="004D40F9">
            <w:pPr>
              <w:pStyle w:val="ListParagraph"/>
              <w:ind w:left="0"/>
              <w:rPr>
                <w:rFonts w:cstheme="minorHAnsi"/>
                <w:sz w:val="20"/>
                <w:szCs w:val="20"/>
              </w:rPr>
            </w:pPr>
          </w:p>
        </w:tc>
      </w:tr>
      <w:tr w:rsidR="00FD27BB" w:rsidRPr="006E751A" w14:paraId="0FBD2521" w14:textId="77777777" w:rsidTr="00604541">
        <w:tc>
          <w:tcPr>
            <w:tcW w:w="977" w:type="dxa"/>
          </w:tcPr>
          <w:p w14:paraId="76036837" w14:textId="63FC9E16"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197</w:t>
            </w:r>
          </w:p>
        </w:tc>
        <w:tc>
          <w:tcPr>
            <w:tcW w:w="1903" w:type="dxa"/>
          </w:tcPr>
          <w:p w14:paraId="7BC1F1CD" w14:textId="26276553" w:rsidR="00FD27BB" w:rsidRPr="00436535"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IPAI</w:t>
            </w:r>
          </w:p>
        </w:tc>
        <w:tc>
          <w:tcPr>
            <w:tcW w:w="5788" w:type="dxa"/>
          </w:tcPr>
          <w:p w14:paraId="5A662DFF" w14:textId="43BF091F" w:rsidR="00FD27BB" w:rsidRPr="00436535"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1CFF7877" w14:textId="77777777" w:rsidR="00FD27BB" w:rsidRPr="00436535" w:rsidRDefault="00FD27BB" w:rsidP="004D40F9">
            <w:pPr>
              <w:pStyle w:val="ListParagraph"/>
              <w:ind w:left="0"/>
              <w:rPr>
                <w:rFonts w:cstheme="minorHAnsi"/>
                <w:sz w:val="20"/>
                <w:szCs w:val="20"/>
              </w:rPr>
            </w:pPr>
          </w:p>
        </w:tc>
      </w:tr>
      <w:tr w:rsidR="00FD27BB" w:rsidRPr="006E751A" w14:paraId="0C8C27B0" w14:textId="77777777" w:rsidTr="00604541">
        <w:tc>
          <w:tcPr>
            <w:tcW w:w="977" w:type="dxa"/>
          </w:tcPr>
          <w:p w14:paraId="525D7CA0" w14:textId="4CC92397"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198</w:t>
            </w:r>
          </w:p>
        </w:tc>
        <w:tc>
          <w:tcPr>
            <w:tcW w:w="1903" w:type="dxa"/>
          </w:tcPr>
          <w:p w14:paraId="6782E189" w14:textId="2209BE68" w:rsidR="00FD27BB" w:rsidRPr="00436535"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OPAI</w:t>
            </w:r>
          </w:p>
        </w:tc>
        <w:tc>
          <w:tcPr>
            <w:tcW w:w="5788" w:type="dxa"/>
          </w:tcPr>
          <w:p w14:paraId="231335B0" w14:textId="2B4ADBCE" w:rsidR="00FD27BB" w:rsidRPr="00436535"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facilities per </w:t>
            </w:r>
            <w:r w:rsidRPr="00436535">
              <w:rPr>
                <w:rFonts w:cstheme="minorHAnsi"/>
                <w:sz w:val="20"/>
                <w:szCs w:val="20"/>
              </w:rPr>
              <w:lastRenderedPageBreak/>
              <w:t>square mile.</w:t>
            </w:r>
          </w:p>
        </w:tc>
        <w:tc>
          <w:tcPr>
            <w:tcW w:w="1952" w:type="dxa"/>
          </w:tcPr>
          <w:p w14:paraId="32FF7083" w14:textId="77777777" w:rsidR="00FD27BB" w:rsidRPr="00436535" w:rsidRDefault="00FD27BB" w:rsidP="004D40F9">
            <w:pPr>
              <w:pStyle w:val="ListParagraph"/>
              <w:ind w:left="0"/>
              <w:rPr>
                <w:rFonts w:cstheme="minorHAnsi"/>
                <w:sz w:val="20"/>
                <w:szCs w:val="20"/>
              </w:rPr>
            </w:pPr>
          </w:p>
        </w:tc>
      </w:tr>
      <w:tr w:rsidR="00FD27BB" w:rsidRPr="006E751A" w14:paraId="5DDCCC43" w14:textId="77777777" w:rsidTr="00604541">
        <w:tc>
          <w:tcPr>
            <w:tcW w:w="977" w:type="dxa"/>
          </w:tcPr>
          <w:p w14:paraId="769CAF82" w14:textId="310E0066"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lastRenderedPageBreak/>
              <w:t>199</w:t>
            </w:r>
          </w:p>
        </w:tc>
        <w:tc>
          <w:tcPr>
            <w:tcW w:w="1903" w:type="dxa"/>
          </w:tcPr>
          <w:p w14:paraId="7405F9F8" w14:textId="7BED174D" w:rsidR="00FD27BB" w:rsidRPr="00436535"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NRI</w:t>
            </w:r>
          </w:p>
        </w:tc>
        <w:tc>
          <w:tcPr>
            <w:tcW w:w="5788" w:type="dxa"/>
          </w:tcPr>
          <w:p w14:paraId="2453A6F1" w14:textId="047912D5" w:rsidR="00FD27BB" w:rsidRPr="00436535"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8382B2A" w14:textId="77777777" w:rsidR="00FD27BB" w:rsidRPr="00436535" w:rsidRDefault="00FD27BB" w:rsidP="004D40F9">
            <w:pPr>
              <w:pStyle w:val="ListParagraph"/>
              <w:ind w:left="0"/>
              <w:rPr>
                <w:rFonts w:cstheme="minorHAnsi"/>
                <w:sz w:val="20"/>
                <w:szCs w:val="20"/>
              </w:rPr>
            </w:pPr>
          </w:p>
        </w:tc>
      </w:tr>
      <w:tr w:rsidR="00FD27BB" w:rsidRPr="006E751A" w14:paraId="3DA6AF2E" w14:textId="77777777" w:rsidTr="00604541">
        <w:tc>
          <w:tcPr>
            <w:tcW w:w="977" w:type="dxa"/>
          </w:tcPr>
          <w:p w14:paraId="4E96081C" w14:textId="0CC1668A"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200</w:t>
            </w:r>
          </w:p>
        </w:tc>
        <w:tc>
          <w:tcPr>
            <w:tcW w:w="1903" w:type="dxa"/>
          </w:tcPr>
          <w:p w14:paraId="6CC1FCB3" w14:textId="5041CBCF" w:rsidR="00FD27BB" w:rsidRPr="00436535"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INRI</w:t>
            </w:r>
          </w:p>
        </w:tc>
        <w:tc>
          <w:tcPr>
            <w:tcW w:w="5788" w:type="dxa"/>
          </w:tcPr>
          <w:p w14:paraId="690859C2" w14:textId="428E6709" w:rsidR="00FD27BB" w:rsidRPr="00436535"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068558D" w14:textId="77777777" w:rsidR="00FD27BB" w:rsidRPr="00436535" w:rsidRDefault="00FD27BB" w:rsidP="004D40F9">
            <w:pPr>
              <w:pStyle w:val="ListParagraph"/>
              <w:ind w:left="0"/>
              <w:rPr>
                <w:rFonts w:cstheme="minorHAnsi"/>
                <w:sz w:val="20"/>
                <w:szCs w:val="20"/>
              </w:rPr>
            </w:pPr>
          </w:p>
        </w:tc>
      </w:tr>
      <w:tr w:rsidR="00FD27BB" w:rsidRPr="006E751A" w14:paraId="3F827A5F" w14:textId="77777777" w:rsidTr="00604541">
        <w:tc>
          <w:tcPr>
            <w:tcW w:w="977" w:type="dxa"/>
          </w:tcPr>
          <w:p w14:paraId="3D6B173E" w14:textId="05224603"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201</w:t>
            </w:r>
          </w:p>
        </w:tc>
        <w:tc>
          <w:tcPr>
            <w:tcW w:w="1903" w:type="dxa"/>
          </w:tcPr>
          <w:p w14:paraId="506788F4" w14:textId="72735CCA" w:rsidR="00FD27BB" w:rsidRPr="00436535" w:rsidRDefault="00FD27BB" w:rsidP="00CF12A6">
            <w:pPr>
              <w:tabs>
                <w:tab w:val="center" w:pos="6480"/>
              </w:tabs>
              <w:autoSpaceDE w:val="0"/>
              <w:autoSpaceDN w:val="0"/>
              <w:adjustRightInd w:val="0"/>
              <w:rPr>
                <w:rFonts w:cstheme="minorHAnsi"/>
                <w:sz w:val="20"/>
                <w:szCs w:val="20"/>
              </w:rPr>
            </w:pPr>
            <w:r>
              <w:rPr>
                <w:rFonts w:cstheme="minorHAnsi"/>
                <w:sz w:val="20"/>
                <w:szCs w:val="20"/>
              </w:rPr>
              <w:t>S</w:t>
            </w:r>
            <w:r w:rsidRPr="00436535">
              <w:rPr>
                <w:rFonts w:cstheme="minorHAnsi"/>
                <w:sz w:val="20"/>
                <w:szCs w:val="20"/>
              </w:rPr>
              <w:t>0</w:t>
            </w:r>
            <w:r>
              <w:rPr>
                <w:rFonts w:cstheme="minorHAnsi"/>
                <w:sz w:val="20"/>
                <w:szCs w:val="20"/>
              </w:rPr>
              <w:t>ONRI</w:t>
            </w:r>
          </w:p>
        </w:tc>
        <w:tc>
          <w:tcPr>
            <w:tcW w:w="5788" w:type="dxa"/>
          </w:tcPr>
          <w:p w14:paraId="2EFDD3E8" w14:textId="14B2A8A3" w:rsidR="00FD27BB" w:rsidRPr="00436535" w:rsidRDefault="00FD27BB" w:rsidP="00FD27BB">
            <w:pPr>
              <w:tabs>
                <w:tab w:val="center" w:pos="6480"/>
              </w:tabs>
              <w:autoSpaceDE w:val="0"/>
              <w:autoSpaceDN w:val="0"/>
              <w:adjustRightInd w:val="0"/>
              <w:rPr>
                <w:rFonts w:cstheme="minorHAnsi"/>
                <w:sz w:val="20"/>
                <w:szCs w:val="20"/>
              </w:rPr>
            </w:pP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AB727E6" w14:textId="77777777" w:rsidR="00FD27BB" w:rsidRPr="00436535" w:rsidRDefault="00FD27BB" w:rsidP="004D40F9">
            <w:pPr>
              <w:pStyle w:val="ListParagraph"/>
              <w:ind w:left="0"/>
              <w:rPr>
                <w:rFonts w:cstheme="minorHAnsi"/>
                <w:sz w:val="20"/>
                <w:szCs w:val="20"/>
              </w:rPr>
            </w:pPr>
          </w:p>
        </w:tc>
      </w:tr>
      <w:tr w:rsidR="00FD27BB" w:rsidRPr="006E751A" w14:paraId="272EA77B" w14:textId="77777777" w:rsidTr="00604541">
        <w:tc>
          <w:tcPr>
            <w:tcW w:w="977" w:type="dxa"/>
          </w:tcPr>
          <w:p w14:paraId="4EA7654B" w14:textId="24FC3129"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202</w:t>
            </w:r>
          </w:p>
        </w:tc>
        <w:tc>
          <w:tcPr>
            <w:tcW w:w="1903" w:type="dxa"/>
          </w:tcPr>
          <w:p w14:paraId="06E5C95D" w14:textId="0699773D" w:rsidR="00FD27BB" w:rsidRPr="00436535"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PAI</w:t>
            </w:r>
          </w:p>
        </w:tc>
        <w:tc>
          <w:tcPr>
            <w:tcW w:w="5788" w:type="dxa"/>
          </w:tcPr>
          <w:p w14:paraId="386AA377" w14:textId="1749896F" w:rsidR="00FD27BB" w:rsidRPr="00436535"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E0DEC49" w14:textId="77777777" w:rsidR="00FD27BB" w:rsidRPr="00436535" w:rsidRDefault="00FD27BB" w:rsidP="004D40F9">
            <w:pPr>
              <w:pStyle w:val="ListParagraph"/>
              <w:ind w:left="0"/>
              <w:rPr>
                <w:rFonts w:cstheme="minorHAnsi"/>
                <w:sz w:val="20"/>
                <w:szCs w:val="20"/>
              </w:rPr>
            </w:pPr>
          </w:p>
        </w:tc>
      </w:tr>
      <w:tr w:rsidR="00FD27BB" w:rsidRPr="006E751A" w14:paraId="270C8769" w14:textId="77777777" w:rsidTr="00604541">
        <w:tc>
          <w:tcPr>
            <w:tcW w:w="977" w:type="dxa"/>
          </w:tcPr>
          <w:p w14:paraId="091B53DA" w14:textId="79F6B15B"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203</w:t>
            </w:r>
          </w:p>
        </w:tc>
        <w:tc>
          <w:tcPr>
            <w:tcW w:w="1903" w:type="dxa"/>
          </w:tcPr>
          <w:p w14:paraId="786C7F86" w14:textId="34F45C6B"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IPAI</w:t>
            </w:r>
          </w:p>
        </w:tc>
        <w:tc>
          <w:tcPr>
            <w:tcW w:w="5788" w:type="dxa"/>
          </w:tcPr>
          <w:p w14:paraId="756533C2" w14:textId="1EACD45D"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467F91E3" w14:textId="77777777" w:rsidR="00FD27BB" w:rsidRPr="00436535" w:rsidRDefault="00FD27BB" w:rsidP="004D40F9">
            <w:pPr>
              <w:pStyle w:val="ListParagraph"/>
              <w:ind w:left="0"/>
              <w:rPr>
                <w:rFonts w:cstheme="minorHAnsi"/>
                <w:sz w:val="20"/>
                <w:szCs w:val="20"/>
              </w:rPr>
            </w:pPr>
          </w:p>
        </w:tc>
      </w:tr>
      <w:tr w:rsidR="00FD27BB" w:rsidRPr="006E751A" w14:paraId="2B087007" w14:textId="77777777" w:rsidTr="00604541">
        <w:tc>
          <w:tcPr>
            <w:tcW w:w="977" w:type="dxa"/>
          </w:tcPr>
          <w:p w14:paraId="7FB799FE" w14:textId="07FEEA7F"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204</w:t>
            </w:r>
          </w:p>
        </w:tc>
        <w:tc>
          <w:tcPr>
            <w:tcW w:w="1903" w:type="dxa"/>
          </w:tcPr>
          <w:p w14:paraId="419B9956" w14:textId="675BC588"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OPAI</w:t>
            </w:r>
          </w:p>
        </w:tc>
        <w:tc>
          <w:tcPr>
            <w:tcW w:w="5788" w:type="dxa"/>
          </w:tcPr>
          <w:p w14:paraId="09566006" w14:textId="352E7888"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1AE693F" w14:textId="77777777" w:rsidR="00FD27BB" w:rsidRPr="00436535" w:rsidRDefault="00FD27BB" w:rsidP="004D40F9">
            <w:pPr>
              <w:pStyle w:val="ListParagraph"/>
              <w:ind w:left="0"/>
              <w:rPr>
                <w:rFonts w:cstheme="minorHAnsi"/>
                <w:sz w:val="20"/>
                <w:szCs w:val="20"/>
              </w:rPr>
            </w:pPr>
          </w:p>
        </w:tc>
      </w:tr>
      <w:tr w:rsidR="00FD27BB" w:rsidRPr="006E751A" w14:paraId="5AE8015C" w14:textId="77777777" w:rsidTr="00604541">
        <w:tc>
          <w:tcPr>
            <w:tcW w:w="977" w:type="dxa"/>
          </w:tcPr>
          <w:p w14:paraId="2421D293" w14:textId="5976B5F8"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205</w:t>
            </w:r>
          </w:p>
        </w:tc>
        <w:tc>
          <w:tcPr>
            <w:tcW w:w="1903" w:type="dxa"/>
          </w:tcPr>
          <w:p w14:paraId="4098246C" w14:textId="46B5D2C4"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NRI</w:t>
            </w:r>
          </w:p>
        </w:tc>
        <w:tc>
          <w:tcPr>
            <w:tcW w:w="5788" w:type="dxa"/>
          </w:tcPr>
          <w:p w14:paraId="27BA26F7" w14:textId="3AAB62B4"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B75A281" w14:textId="77777777" w:rsidR="00FD27BB" w:rsidRPr="00436535" w:rsidRDefault="00FD27BB" w:rsidP="004D40F9">
            <w:pPr>
              <w:pStyle w:val="ListParagraph"/>
              <w:ind w:left="0"/>
              <w:rPr>
                <w:rFonts w:cstheme="minorHAnsi"/>
                <w:sz w:val="20"/>
                <w:szCs w:val="20"/>
              </w:rPr>
            </w:pPr>
          </w:p>
        </w:tc>
      </w:tr>
      <w:tr w:rsidR="00FD27BB" w:rsidRPr="006E751A" w14:paraId="79CFACCF" w14:textId="77777777" w:rsidTr="00604541">
        <w:tc>
          <w:tcPr>
            <w:tcW w:w="977" w:type="dxa"/>
          </w:tcPr>
          <w:p w14:paraId="60542570" w14:textId="3A2FCEE6"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206</w:t>
            </w:r>
          </w:p>
        </w:tc>
        <w:tc>
          <w:tcPr>
            <w:tcW w:w="1903" w:type="dxa"/>
          </w:tcPr>
          <w:p w14:paraId="172D2DFB" w14:textId="4863734F"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INRI</w:t>
            </w:r>
          </w:p>
        </w:tc>
        <w:tc>
          <w:tcPr>
            <w:tcW w:w="5788" w:type="dxa"/>
          </w:tcPr>
          <w:p w14:paraId="3B49A610" w14:textId="2F515E65"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13749047" w14:textId="77777777" w:rsidR="00FD27BB" w:rsidRPr="00436535" w:rsidRDefault="00FD27BB" w:rsidP="004D40F9">
            <w:pPr>
              <w:pStyle w:val="ListParagraph"/>
              <w:ind w:left="0"/>
              <w:rPr>
                <w:rFonts w:cstheme="minorHAnsi"/>
                <w:sz w:val="20"/>
                <w:szCs w:val="20"/>
              </w:rPr>
            </w:pPr>
          </w:p>
        </w:tc>
      </w:tr>
      <w:tr w:rsidR="00FD27BB" w:rsidRPr="006E751A" w14:paraId="005BD349" w14:textId="77777777" w:rsidTr="00604541">
        <w:tc>
          <w:tcPr>
            <w:tcW w:w="977" w:type="dxa"/>
          </w:tcPr>
          <w:p w14:paraId="4EE8EC0F" w14:textId="5721254B" w:rsidR="00FD27BB" w:rsidRDefault="00FD27BB" w:rsidP="00FD27BB">
            <w:pPr>
              <w:tabs>
                <w:tab w:val="center" w:pos="6480"/>
              </w:tabs>
              <w:autoSpaceDE w:val="0"/>
              <w:autoSpaceDN w:val="0"/>
              <w:adjustRightInd w:val="0"/>
              <w:rPr>
                <w:rFonts w:cs="SAS Monospace"/>
                <w:sz w:val="20"/>
                <w:szCs w:val="20"/>
              </w:rPr>
            </w:pPr>
            <w:r>
              <w:rPr>
                <w:rFonts w:cs="SAS Monospace"/>
                <w:sz w:val="20"/>
                <w:szCs w:val="20"/>
              </w:rPr>
              <w:t>207</w:t>
            </w:r>
          </w:p>
        </w:tc>
        <w:tc>
          <w:tcPr>
            <w:tcW w:w="1903" w:type="dxa"/>
          </w:tcPr>
          <w:p w14:paraId="58B4EBEA" w14:textId="2A4B69D4"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A_S</w:t>
            </w:r>
            <w:r w:rsidRPr="00436535">
              <w:rPr>
                <w:rFonts w:cstheme="minorHAnsi"/>
                <w:sz w:val="20"/>
                <w:szCs w:val="20"/>
              </w:rPr>
              <w:t>0</w:t>
            </w:r>
            <w:r>
              <w:rPr>
                <w:rFonts w:cstheme="minorHAnsi"/>
                <w:sz w:val="20"/>
                <w:szCs w:val="20"/>
              </w:rPr>
              <w:t>ONRI</w:t>
            </w:r>
          </w:p>
        </w:tc>
        <w:tc>
          <w:tcPr>
            <w:tcW w:w="5788" w:type="dxa"/>
          </w:tcPr>
          <w:p w14:paraId="2FCB6280" w14:textId="03C99094" w:rsidR="00FD27BB" w:rsidRDefault="00FD27BB" w:rsidP="00FD27BB">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1/2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88E90F5" w14:textId="77777777" w:rsidR="00FD27BB" w:rsidRPr="00436535" w:rsidRDefault="00FD27BB" w:rsidP="004D40F9">
            <w:pPr>
              <w:pStyle w:val="ListParagraph"/>
              <w:ind w:left="0"/>
              <w:rPr>
                <w:rFonts w:cstheme="minorHAnsi"/>
                <w:sz w:val="20"/>
                <w:szCs w:val="20"/>
              </w:rPr>
            </w:pPr>
          </w:p>
        </w:tc>
      </w:tr>
      <w:tr w:rsidR="0076482D" w:rsidRPr="006E751A" w14:paraId="10FDD41F" w14:textId="77777777" w:rsidTr="00604541">
        <w:tc>
          <w:tcPr>
            <w:tcW w:w="977" w:type="dxa"/>
          </w:tcPr>
          <w:p w14:paraId="2B7B1B37" w14:textId="71B335D2" w:rsidR="0076482D" w:rsidRDefault="0076482D" w:rsidP="00FD27BB">
            <w:pPr>
              <w:tabs>
                <w:tab w:val="center" w:pos="6480"/>
              </w:tabs>
              <w:autoSpaceDE w:val="0"/>
              <w:autoSpaceDN w:val="0"/>
              <w:adjustRightInd w:val="0"/>
              <w:rPr>
                <w:rFonts w:cs="SAS Monospace"/>
                <w:sz w:val="20"/>
                <w:szCs w:val="20"/>
              </w:rPr>
            </w:pPr>
            <w:r>
              <w:rPr>
                <w:rFonts w:cs="SAS Monospace"/>
                <w:sz w:val="20"/>
                <w:szCs w:val="20"/>
              </w:rPr>
              <w:t>208</w:t>
            </w:r>
          </w:p>
        </w:tc>
        <w:tc>
          <w:tcPr>
            <w:tcW w:w="1903" w:type="dxa"/>
          </w:tcPr>
          <w:p w14:paraId="2CCFD18B" w14:textId="3154BAE3"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S1PAI</w:t>
            </w:r>
          </w:p>
        </w:tc>
        <w:tc>
          <w:tcPr>
            <w:tcW w:w="5788" w:type="dxa"/>
          </w:tcPr>
          <w:p w14:paraId="3BA67CB1" w14:textId="7B9B4F29" w:rsidR="0076482D"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D0A58CE" w14:textId="77777777" w:rsidR="0076482D" w:rsidRPr="00436535" w:rsidRDefault="0076482D" w:rsidP="004D40F9">
            <w:pPr>
              <w:pStyle w:val="ListParagraph"/>
              <w:ind w:left="0"/>
              <w:rPr>
                <w:rFonts w:cstheme="minorHAnsi"/>
                <w:sz w:val="20"/>
                <w:szCs w:val="20"/>
              </w:rPr>
            </w:pPr>
          </w:p>
        </w:tc>
      </w:tr>
      <w:tr w:rsidR="0076482D" w:rsidRPr="006E751A" w14:paraId="3C93B47D" w14:textId="77777777" w:rsidTr="00604541">
        <w:tc>
          <w:tcPr>
            <w:tcW w:w="977" w:type="dxa"/>
          </w:tcPr>
          <w:p w14:paraId="3E2CC978" w14:textId="2003B71A"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209</w:t>
            </w:r>
          </w:p>
        </w:tc>
        <w:tc>
          <w:tcPr>
            <w:tcW w:w="1903" w:type="dxa"/>
          </w:tcPr>
          <w:p w14:paraId="5739CD65" w14:textId="53D5337D"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S1IPAI</w:t>
            </w:r>
          </w:p>
        </w:tc>
        <w:tc>
          <w:tcPr>
            <w:tcW w:w="5788" w:type="dxa"/>
          </w:tcPr>
          <w:p w14:paraId="5F897C7F" w14:textId="6BA295F4" w:rsidR="0076482D" w:rsidRPr="00436535"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87A080D" w14:textId="77777777" w:rsidR="0076482D" w:rsidRPr="00436535" w:rsidRDefault="0076482D" w:rsidP="004D40F9">
            <w:pPr>
              <w:pStyle w:val="ListParagraph"/>
              <w:ind w:left="0"/>
              <w:rPr>
                <w:rFonts w:cstheme="minorHAnsi"/>
                <w:sz w:val="20"/>
                <w:szCs w:val="20"/>
              </w:rPr>
            </w:pPr>
          </w:p>
        </w:tc>
      </w:tr>
      <w:tr w:rsidR="0076482D" w:rsidRPr="006E751A" w14:paraId="6690EF83" w14:textId="77777777" w:rsidTr="00604541">
        <w:tc>
          <w:tcPr>
            <w:tcW w:w="977" w:type="dxa"/>
          </w:tcPr>
          <w:p w14:paraId="44FBED30" w14:textId="534901C6"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210</w:t>
            </w:r>
          </w:p>
        </w:tc>
        <w:tc>
          <w:tcPr>
            <w:tcW w:w="1903" w:type="dxa"/>
          </w:tcPr>
          <w:p w14:paraId="0FC73284" w14:textId="539743A8"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S1OPAI</w:t>
            </w:r>
          </w:p>
        </w:tc>
        <w:tc>
          <w:tcPr>
            <w:tcW w:w="5788" w:type="dxa"/>
          </w:tcPr>
          <w:p w14:paraId="67E9B0E4" w14:textId="6C3076BC" w:rsidR="0076482D" w:rsidRPr="00436535"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B340AD9" w14:textId="77777777" w:rsidR="0076482D" w:rsidRPr="00436535" w:rsidRDefault="0076482D" w:rsidP="004D40F9">
            <w:pPr>
              <w:pStyle w:val="ListParagraph"/>
              <w:ind w:left="0"/>
              <w:rPr>
                <w:rFonts w:cstheme="minorHAnsi"/>
                <w:sz w:val="20"/>
                <w:szCs w:val="20"/>
              </w:rPr>
            </w:pPr>
          </w:p>
        </w:tc>
      </w:tr>
      <w:tr w:rsidR="0076482D" w:rsidRPr="006E751A" w14:paraId="3B241458" w14:textId="77777777" w:rsidTr="00604541">
        <w:tc>
          <w:tcPr>
            <w:tcW w:w="977" w:type="dxa"/>
          </w:tcPr>
          <w:p w14:paraId="0C7FC0E6" w14:textId="58C1E281"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211</w:t>
            </w:r>
          </w:p>
        </w:tc>
        <w:tc>
          <w:tcPr>
            <w:tcW w:w="1903" w:type="dxa"/>
          </w:tcPr>
          <w:p w14:paraId="1C17DFCB" w14:textId="30F73996"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S1NRI</w:t>
            </w:r>
          </w:p>
        </w:tc>
        <w:tc>
          <w:tcPr>
            <w:tcW w:w="5788" w:type="dxa"/>
          </w:tcPr>
          <w:p w14:paraId="5AF136FA" w14:textId="3297FF10" w:rsidR="0076482D" w:rsidRPr="00436535"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 xml:space="preserve">physical activity facilities without recreational </w:t>
            </w:r>
            <w:r>
              <w:rPr>
                <w:rFonts w:cstheme="minorHAnsi"/>
                <w:sz w:val="20"/>
                <w:szCs w:val="20"/>
              </w:rPr>
              <w:lastRenderedPageBreak/>
              <w:t>(indoor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2D6F28E" w14:textId="77777777" w:rsidR="0076482D" w:rsidRPr="00436535" w:rsidRDefault="0076482D" w:rsidP="004D40F9">
            <w:pPr>
              <w:pStyle w:val="ListParagraph"/>
              <w:ind w:left="0"/>
              <w:rPr>
                <w:rFonts w:cstheme="minorHAnsi"/>
                <w:sz w:val="20"/>
                <w:szCs w:val="20"/>
              </w:rPr>
            </w:pPr>
          </w:p>
        </w:tc>
      </w:tr>
      <w:tr w:rsidR="0076482D" w:rsidRPr="006E751A" w14:paraId="1B06CC30" w14:textId="77777777" w:rsidTr="00604541">
        <w:tc>
          <w:tcPr>
            <w:tcW w:w="977" w:type="dxa"/>
          </w:tcPr>
          <w:p w14:paraId="086DBDEC" w14:textId="611F03B9"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lastRenderedPageBreak/>
              <w:t>212</w:t>
            </w:r>
          </w:p>
        </w:tc>
        <w:tc>
          <w:tcPr>
            <w:tcW w:w="1903" w:type="dxa"/>
          </w:tcPr>
          <w:p w14:paraId="751BAD78" w14:textId="659278F9"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S1INRI</w:t>
            </w:r>
          </w:p>
        </w:tc>
        <w:tc>
          <w:tcPr>
            <w:tcW w:w="5788" w:type="dxa"/>
          </w:tcPr>
          <w:p w14:paraId="41DAD146" w14:textId="5C4A8B12" w:rsidR="0076482D" w:rsidRPr="00436535"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29B4DDD" w14:textId="77777777" w:rsidR="0076482D" w:rsidRPr="00436535" w:rsidRDefault="0076482D" w:rsidP="004D40F9">
            <w:pPr>
              <w:pStyle w:val="ListParagraph"/>
              <w:ind w:left="0"/>
              <w:rPr>
                <w:rFonts w:cstheme="minorHAnsi"/>
                <w:sz w:val="20"/>
                <w:szCs w:val="20"/>
              </w:rPr>
            </w:pPr>
          </w:p>
        </w:tc>
      </w:tr>
      <w:tr w:rsidR="0076482D" w:rsidRPr="006E751A" w14:paraId="3522E721" w14:textId="77777777" w:rsidTr="00604541">
        <w:tc>
          <w:tcPr>
            <w:tcW w:w="977" w:type="dxa"/>
          </w:tcPr>
          <w:p w14:paraId="745D918B" w14:textId="32C607EF"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213</w:t>
            </w:r>
          </w:p>
        </w:tc>
        <w:tc>
          <w:tcPr>
            <w:tcW w:w="1903" w:type="dxa"/>
          </w:tcPr>
          <w:p w14:paraId="44A56A78" w14:textId="18409402"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S1ONRI</w:t>
            </w:r>
          </w:p>
        </w:tc>
        <w:tc>
          <w:tcPr>
            <w:tcW w:w="5788" w:type="dxa"/>
          </w:tcPr>
          <w:p w14:paraId="18F269DE" w14:textId="002D776C" w:rsidR="0076482D" w:rsidRPr="00436535" w:rsidRDefault="0076482D" w:rsidP="0076482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6D42F2F" w14:textId="77777777" w:rsidR="0076482D" w:rsidRPr="00436535" w:rsidRDefault="0076482D" w:rsidP="004D40F9">
            <w:pPr>
              <w:pStyle w:val="ListParagraph"/>
              <w:ind w:left="0"/>
              <w:rPr>
                <w:rFonts w:cstheme="minorHAnsi"/>
                <w:sz w:val="20"/>
                <w:szCs w:val="20"/>
              </w:rPr>
            </w:pPr>
          </w:p>
        </w:tc>
      </w:tr>
      <w:tr w:rsidR="0076482D" w:rsidRPr="006E751A" w14:paraId="0892AF2D" w14:textId="77777777" w:rsidTr="00604541">
        <w:tc>
          <w:tcPr>
            <w:tcW w:w="977" w:type="dxa"/>
          </w:tcPr>
          <w:p w14:paraId="0F470BE1" w14:textId="722B1FDB"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214</w:t>
            </w:r>
          </w:p>
        </w:tc>
        <w:tc>
          <w:tcPr>
            <w:tcW w:w="1903" w:type="dxa"/>
          </w:tcPr>
          <w:p w14:paraId="339F6771" w14:textId="3D43B168"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A_S1PAI</w:t>
            </w:r>
          </w:p>
        </w:tc>
        <w:tc>
          <w:tcPr>
            <w:tcW w:w="5788" w:type="dxa"/>
          </w:tcPr>
          <w:p w14:paraId="05503671" w14:textId="4F1F38EF" w:rsidR="0076482D" w:rsidRPr="00436535"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1453F1A" w14:textId="77777777" w:rsidR="0076482D" w:rsidRPr="00436535" w:rsidRDefault="0076482D" w:rsidP="004D40F9">
            <w:pPr>
              <w:pStyle w:val="ListParagraph"/>
              <w:ind w:left="0"/>
              <w:rPr>
                <w:rFonts w:cstheme="minorHAnsi"/>
                <w:sz w:val="20"/>
                <w:szCs w:val="20"/>
              </w:rPr>
            </w:pPr>
          </w:p>
        </w:tc>
      </w:tr>
      <w:tr w:rsidR="0076482D" w:rsidRPr="006E751A" w14:paraId="50B5A684" w14:textId="77777777" w:rsidTr="00604541">
        <w:tc>
          <w:tcPr>
            <w:tcW w:w="977" w:type="dxa"/>
          </w:tcPr>
          <w:p w14:paraId="7DAF35B8" w14:textId="7B72120F"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215</w:t>
            </w:r>
          </w:p>
        </w:tc>
        <w:tc>
          <w:tcPr>
            <w:tcW w:w="1903" w:type="dxa"/>
          </w:tcPr>
          <w:p w14:paraId="45ACDEB0" w14:textId="7BD80B0D"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A_S1IPAI</w:t>
            </w:r>
          </w:p>
        </w:tc>
        <w:tc>
          <w:tcPr>
            <w:tcW w:w="5788" w:type="dxa"/>
          </w:tcPr>
          <w:p w14:paraId="13E7CFBF" w14:textId="797B7C25"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F1982A4" w14:textId="77777777" w:rsidR="0076482D" w:rsidRPr="00436535" w:rsidRDefault="0076482D" w:rsidP="004D40F9">
            <w:pPr>
              <w:pStyle w:val="ListParagraph"/>
              <w:ind w:left="0"/>
              <w:rPr>
                <w:rFonts w:cstheme="minorHAnsi"/>
                <w:sz w:val="20"/>
                <w:szCs w:val="20"/>
              </w:rPr>
            </w:pPr>
          </w:p>
        </w:tc>
      </w:tr>
      <w:tr w:rsidR="0076482D" w:rsidRPr="006E751A" w14:paraId="1EA3665D" w14:textId="77777777" w:rsidTr="00604541">
        <w:tc>
          <w:tcPr>
            <w:tcW w:w="977" w:type="dxa"/>
          </w:tcPr>
          <w:p w14:paraId="7A639124" w14:textId="622BD33E"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216</w:t>
            </w:r>
          </w:p>
        </w:tc>
        <w:tc>
          <w:tcPr>
            <w:tcW w:w="1903" w:type="dxa"/>
          </w:tcPr>
          <w:p w14:paraId="58C40637" w14:textId="2A2CF6F2"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A_S1OPAI</w:t>
            </w:r>
          </w:p>
        </w:tc>
        <w:tc>
          <w:tcPr>
            <w:tcW w:w="5788" w:type="dxa"/>
          </w:tcPr>
          <w:p w14:paraId="732F5AA6" w14:textId="24DEC775"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AB57701" w14:textId="77777777" w:rsidR="0076482D" w:rsidRPr="00436535" w:rsidRDefault="0076482D" w:rsidP="004D40F9">
            <w:pPr>
              <w:pStyle w:val="ListParagraph"/>
              <w:ind w:left="0"/>
              <w:rPr>
                <w:rFonts w:cstheme="minorHAnsi"/>
                <w:sz w:val="20"/>
                <w:szCs w:val="20"/>
              </w:rPr>
            </w:pPr>
          </w:p>
        </w:tc>
      </w:tr>
      <w:tr w:rsidR="0076482D" w:rsidRPr="006E751A" w14:paraId="50FC924B" w14:textId="77777777" w:rsidTr="00604541">
        <w:tc>
          <w:tcPr>
            <w:tcW w:w="977" w:type="dxa"/>
          </w:tcPr>
          <w:p w14:paraId="69CF9899" w14:textId="4653CCDC"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217</w:t>
            </w:r>
          </w:p>
        </w:tc>
        <w:tc>
          <w:tcPr>
            <w:tcW w:w="1903" w:type="dxa"/>
          </w:tcPr>
          <w:p w14:paraId="5C1E14B3" w14:textId="1A0A7A1B"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A_S1NRI</w:t>
            </w:r>
          </w:p>
        </w:tc>
        <w:tc>
          <w:tcPr>
            <w:tcW w:w="5788" w:type="dxa"/>
          </w:tcPr>
          <w:p w14:paraId="090CFF2E" w14:textId="119699DD"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2A64D9E" w14:textId="77777777" w:rsidR="0076482D" w:rsidRPr="00436535" w:rsidRDefault="0076482D" w:rsidP="004D40F9">
            <w:pPr>
              <w:pStyle w:val="ListParagraph"/>
              <w:ind w:left="0"/>
              <w:rPr>
                <w:rFonts w:cstheme="minorHAnsi"/>
                <w:sz w:val="20"/>
                <w:szCs w:val="20"/>
              </w:rPr>
            </w:pPr>
          </w:p>
        </w:tc>
      </w:tr>
      <w:tr w:rsidR="0076482D" w:rsidRPr="006E751A" w14:paraId="730C6955" w14:textId="77777777" w:rsidTr="00604541">
        <w:tc>
          <w:tcPr>
            <w:tcW w:w="977" w:type="dxa"/>
          </w:tcPr>
          <w:p w14:paraId="3EFAA1F5" w14:textId="17E6FDE0"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218</w:t>
            </w:r>
          </w:p>
        </w:tc>
        <w:tc>
          <w:tcPr>
            <w:tcW w:w="1903" w:type="dxa"/>
          </w:tcPr>
          <w:p w14:paraId="3023F950" w14:textId="1EFB2FA2"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A_S1INRI</w:t>
            </w:r>
          </w:p>
        </w:tc>
        <w:tc>
          <w:tcPr>
            <w:tcW w:w="5788" w:type="dxa"/>
          </w:tcPr>
          <w:p w14:paraId="6F204C93" w14:textId="59997C44"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45268D6D" w14:textId="77777777" w:rsidR="0076482D" w:rsidRPr="00436535" w:rsidRDefault="0076482D" w:rsidP="004D40F9">
            <w:pPr>
              <w:pStyle w:val="ListParagraph"/>
              <w:ind w:left="0"/>
              <w:rPr>
                <w:rFonts w:cstheme="minorHAnsi"/>
                <w:sz w:val="20"/>
                <w:szCs w:val="20"/>
              </w:rPr>
            </w:pPr>
          </w:p>
        </w:tc>
      </w:tr>
      <w:tr w:rsidR="0076482D" w:rsidRPr="006E751A" w14:paraId="783A18FD" w14:textId="77777777" w:rsidTr="00604541">
        <w:tc>
          <w:tcPr>
            <w:tcW w:w="977" w:type="dxa"/>
          </w:tcPr>
          <w:p w14:paraId="4441B870" w14:textId="13A627B6" w:rsidR="0076482D" w:rsidRDefault="0076482D" w:rsidP="0076482D">
            <w:pPr>
              <w:tabs>
                <w:tab w:val="center" w:pos="6480"/>
              </w:tabs>
              <w:autoSpaceDE w:val="0"/>
              <w:autoSpaceDN w:val="0"/>
              <w:adjustRightInd w:val="0"/>
              <w:rPr>
                <w:rFonts w:cs="SAS Monospace"/>
                <w:sz w:val="20"/>
                <w:szCs w:val="20"/>
              </w:rPr>
            </w:pPr>
            <w:r>
              <w:rPr>
                <w:rFonts w:cs="SAS Monospace"/>
                <w:sz w:val="20"/>
                <w:szCs w:val="20"/>
              </w:rPr>
              <w:t>219</w:t>
            </w:r>
          </w:p>
        </w:tc>
        <w:tc>
          <w:tcPr>
            <w:tcW w:w="1903" w:type="dxa"/>
          </w:tcPr>
          <w:p w14:paraId="284D6912" w14:textId="255F1AD1"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A_S1ONRI</w:t>
            </w:r>
          </w:p>
        </w:tc>
        <w:tc>
          <w:tcPr>
            <w:tcW w:w="5788" w:type="dxa"/>
          </w:tcPr>
          <w:p w14:paraId="3CC49CD9" w14:textId="70411364" w:rsidR="0076482D" w:rsidRDefault="0076482D" w:rsidP="0076482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DC20B58" w14:textId="77777777" w:rsidR="0076482D" w:rsidRPr="00436535" w:rsidRDefault="0076482D" w:rsidP="004D40F9">
            <w:pPr>
              <w:pStyle w:val="ListParagraph"/>
              <w:ind w:left="0"/>
              <w:rPr>
                <w:rFonts w:cstheme="minorHAnsi"/>
                <w:sz w:val="20"/>
                <w:szCs w:val="20"/>
              </w:rPr>
            </w:pPr>
          </w:p>
        </w:tc>
      </w:tr>
      <w:tr w:rsidR="001A7E05" w:rsidRPr="006E751A" w14:paraId="289B5464" w14:textId="77777777" w:rsidTr="00604541">
        <w:tc>
          <w:tcPr>
            <w:tcW w:w="977" w:type="dxa"/>
          </w:tcPr>
          <w:p w14:paraId="23B6C1EC" w14:textId="6B379947" w:rsidR="001A7E05" w:rsidRDefault="001A7E05" w:rsidP="0076482D">
            <w:pPr>
              <w:tabs>
                <w:tab w:val="center" w:pos="6480"/>
              </w:tabs>
              <w:autoSpaceDE w:val="0"/>
              <w:autoSpaceDN w:val="0"/>
              <w:adjustRightInd w:val="0"/>
              <w:rPr>
                <w:rFonts w:cs="SAS Monospace"/>
                <w:sz w:val="20"/>
                <w:szCs w:val="20"/>
              </w:rPr>
            </w:pPr>
            <w:r>
              <w:rPr>
                <w:rFonts w:cs="SAS Monospace"/>
                <w:sz w:val="20"/>
                <w:szCs w:val="20"/>
              </w:rPr>
              <w:t>220</w:t>
            </w:r>
          </w:p>
        </w:tc>
        <w:tc>
          <w:tcPr>
            <w:tcW w:w="1903" w:type="dxa"/>
          </w:tcPr>
          <w:p w14:paraId="353A5254" w14:textId="569A402E"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S3PAI</w:t>
            </w:r>
          </w:p>
        </w:tc>
        <w:tc>
          <w:tcPr>
            <w:tcW w:w="5788" w:type="dxa"/>
          </w:tcPr>
          <w:p w14:paraId="197520F5" w14:textId="7F2EE0C8" w:rsidR="001A7E0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D7E1293" w14:textId="77777777" w:rsidR="001A7E05" w:rsidRPr="00436535" w:rsidRDefault="001A7E05" w:rsidP="004D40F9">
            <w:pPr>
              <w:pStyle w:val="ListParagraph"/>
              <w:ind w:left="0"/>
              <w:rPr>
                <w:rFonts w:cstheme="minorHAnsi"/>
                <w:sz w:val="20"/>
                <w:szCs w:val="20"/>
              </w:rPr>
            </w:pPr>
          </w:p>
        </w:tc>
      </w:tr>
      <w:tr w:rsidR="001A7E05" w:rsidRPr="006E751A" w14:paraId="518F7F9F" w14:textId="77777777" w:rsidTr="00604541">
        <w:tc>
          <w:tcPr>
            <w:tcW w:w="977" w:type="dxa"/>
          </w:tcPr>
          <w:p w14:paraId="41DD1EF2" w14:textId="0E59A74B"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221</w:t>
            </w:r>
          </w:p>
        </w:tc>
        <w:tc>
          <w:tcPr>
            <w:tcW w:w="1903" w:type="dxa"/>
          </w:tcPr>
          <w:p w14:paraId="5AF8EF85" w14:textId="10999DD2"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S3IPAI</w:t>
            </w:r>
          </w:p>
        </w:tc>
        <w:tc>
          <w:tcPr>
            <w:tcW w:w="5788" w:type="dxa"/>
          </w:tcPr>
          <w:p w14:paraId="1B09B7B5" w14:textId="1B42CA37" w:rsidR="001A7E05" w:rsidRPr="0043653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ED94DEE" w14:textId="77777777" w:rsidR="001A7E05" w:rsidRPr="00436535" w:rsidRDefault="001A7E05" w:rsidP="004D40F9">
            <w:pPr>
              <w:pStyle w:val="ListParagraph"/>
              <w:ind w:left="0"/>
              <w:rPr>
                <w:rFonts w:cstheme="minorHAnsi"/>
                <w:sz w:val="20"/>
                <w:szCs w:val="20"/>
              </w:rPr>
            </w:pPr>
          </w:p>
        </w:tc>
      </w:tr>
      <w:tr w:rsidR="001A7E05" w:rsidRPr="006E751A" w14:paraId="38D14181" w14:textId="77777777" w:rsidTr="00604541">
        <w:tc>
          <w:tcPr>
            <w:tcW w:w="977" w:type="dxa"/>
          </w:tcPr>
          <w:p w14:paraId="21065D96" w14:textId="5D6281FF"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222</w:t>
            </w:r>
          </w:p>
        </w:tc>
        <w:tc>
          <w:tcPr>
            <w:tcW w:w="1903" w:type="dxa"/>
          </w:tcPr>
          <w:p w14:paraId="0C40FE04" w14:textId="5CDAF4DE"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S3OPAI</w:t>
            </w:r>
          </w:p>
        </w:tc>
        <w:tc>
          <w:tcPr>
            <w:tcW w:w="5788" w:type="dxa"/>
          </w:tcPr>
          <w:p w14:paraId="345D8D9C" w14:textId="6F33B221" w:rsidR="001A7E05" w:rsidRPr="0043653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40E6F52" w14:textId="77777777" w:rsidR="001A7E05" w:rsidRPr="00436535" w:rsidRDefault="001A7E05" w:rsidP="004D40F9">
            <w:pPr>
              <w:pStyle w:val="ListParagraph"/>
              <w:ind w:left="0"/>
              <w:rPr>
                <w:rFonts w:cstheme="minorHAnsi"/>
                <w:sz w:val="20"/>
                <w:szCs w:val="20"/>
              </w:rPr>
            </w:pPr>
          </w:p>
        </w:tc>
      </w:tr>
      <w:tr w:rsidR="001A7E05" w:rsidRPr="006E751A" w14:paraId="5EB15A5E" w14:textId="77777777" w:rsidTr="00604541">
        <w:tc>
          <w:tcPr>
            <w:tcW w:w="977" w:type="dxa"/>
          </w:tcPr>
          <w:p w14:paraId="298EC918" w14:textId="52BEF915"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223</w:t>
            </w:r>
          </w:p>
        </w:tc>
        <w:tc>
          <w:tcPr>
            <w:tcW w:w="1903" w:type="dxa"/>
          </w:tcPr>
          <w:p w14:paraId="65C56C17" w14:textId="10718486"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S3NRI</w:t>
            </w:r>
          </w:p>
        </w:tc>
        <w:tc>
          <w:tcPr>
            <w:tcW w:w="5788" w:type="dxa"/>
          </w:tcPr>
          <w:p w14:paraId="61D0AE68" w14:textId="0637A81B" w:rsidR="001A7E05" w:rsidRPr="0043653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facilities per </w:t>
            </w:r>
            <w:r w:rsidRPr="00436535">
              <w:rPr>
                <w:rFonts w:cstheme="minorHAnsi"/>
                <w:sz w:val="20"/>
                <w:szCs w:val="20"/>
              </w:rPr>
              <w:lastRenderedPageBreak/>
              <w:t>square mile.</w:t>
            </w:r>
          </w:p>
        </w:tc>
        <w:tc>
          <w:tcPr>
            <w:tcW w:w="1952" w:type="dxa"/>
          </w:tcPr>
          <w:p w14:paraId="1DBFB5E2" w14:textId="77777777" w:rsidR="001A7E05" w:rsidRPr="00436535" w:rsidRDefault="001A7E05" w:rsidP="004D40F9">
            <w:pPr>
              <w:pStyle w:val="ListParagraph"/>
              <w:ind w:left="0"/>
              <w:rPr>
                <w:rFonts w:cstheme="minorHAnsi"/>
                <w:sz w:val="20"/>
                <w:szCs w:val="20"/>
              </w:rPr>
            </w:pPr>
          </w:p>
        </w:tc>
      </w:tr>
      <w:tr w:rsidR="001A7E05" w:rsidRPr="006E751A" w14:paraId="42AA2D02" w14:textId="77777777" w:rsidTr="00604541">
        <w:tc>
          <w:tcPr>
            <w:tcW w:w="977" w:type="dxa"/>
          </w:tcPr>
          <w:p w14:paraId="206DEE7B" w14:textId="3BD99D68"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lastRenderedPageBreak/>
              <w:t>224</w:t>
            </w:r>
          </w:p>
        </w:tc>
        <w:tc>
          <w:tcPr>
            <w:tcW w:w="1903" w:type="dxa"/>
          </w:tcPr>
          <w:p w14:paraId="34629863" w14:textId="7705D9F0"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S3INRI</w:t>
            </w:r>
          </w:p>
        </w:tc>
        <w:tc>
          <w:tcPr>
            <w:tcW w:w="5788" w:type="dxa"/>
          </w:tcPr>
          <w:p w14:paraId="457CCE2E" w14:textId="6CDD442E" w:rsidR="001A7E05" w:rsidRPr="0043653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FFE87BC" w14:textId="77777777" w:rsidR="001A7E05" w:rsidRPr="00436535" w:rsidRDefault="001A7E05" w:rsidP="004D40F9">
            <w:pPr>
              <w:pStyle w:val="ListParagraph"/>
              <w:ind w:left="0"/>
              <w:rPr>
                <w:rFonts w:cstheme="minorHAnsi"/>
                <w:sz w:val="20"/>
                <w:szCs w:val="20"/>
              </w:rPr>
            </w:pPr>
          </w:p>
        </w:tc>
      </w:tr>
      <w:tr w:rsidR="001A7E05" w:rsidRPr="006E751A" w14:paraId="09A87DC7" w14:textId="77777777" w:rsidTr="00604541">
        <w:tc>
          <w:tcPr>
            <w:tcW w:w="977" w:type="dxa"/>
          </w:tcPr>
          <w:p w14:paraId="729E003A" w14:textId="7F8D7877"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225</w:t>
            </w:r>
          </w:p>
        </w:tc>
        <w:tc>
          <w:tcPr>
            <w:tcW w:w="1903" w:type="dxa"/>
          </w:tcPr>
          <w:p w14:paraId="327BB29D" w14:textId="1B181E15"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S3ONRI</w:t>
            </w:r>
          </w:p>
        </w:tc>
        <w:tc>
          <w:tcPr>
            <w:tcW w:w="5788" w:type="dxa"/>
          </w:tcPr>
          <w:p w14:paraId="4E7FFDD6" w14:textId="4300FF3E" w:rsidR="001A7E05" w:rsidRPr="00436535" w:rsidRDefault="001A7E05" w:rsidP="0076482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1F39DB8D" w14:textId="77777777" w:rsidR="001A7E05" w:rsidRPr="00436535" w:rsidRDefault="001A7E05" w:rsidP="004D40F9">
            <w:pPr>
              <w:pStyle w:val="ListParagraph"/>
              <w:ind w:left="0"/>
              <w:rPr>
                <w:rFonts w:cstheme="minorHAnsi"/>
                <w:sz w:val="20"/>
                <w:szCs w:val="20"/>
              </w:rPr>
            </w:pPr>
          </w:p>
        </w:tc>
      </w:tr>
      <w:tr w:rsidR="001A7E05" w:rsidRPr="006E751A" w14:paraId="0CC71382" w14:textId="77777777" w:rsidTr="00604541">
        <w:tc>
          <w:tcPr>
            <w:tcW w:w="977" w:type="dxa"/>
          </w:tcPr>
          <w:p w14:paraId="0993E1A6" w14:textId="715372AD"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226</w:t>
            </w:r>
          </w:p>
        </w:tc>
        <w:tc>
          <w:tcPr>
            <w:tcW w:w="1903" w:type="dxa"/>
          </w:tcPr>
          <w:p w14:paraId="09444086" w14:textId="5D6D6E72"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A_S3PAI</w:t>
            </w:r>
          </w:p>
        </w:tc>
        <w:tc>
          <w:tcPr>
            <w:tcW w:w="5788" w:type="dxa"/>
          </w:tcPr>
          <w:p w14:paraId="1A6C1665" w14:textId="1FA2BF7F" w:rsidR="001A7E05" w:rsidRPr="0043653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FA3DFA2" w14:textId="77777777" w:rsidR="001A7E05" w:rsidRPr="00436535" w:rsidRDefault="001A7E05" w:rsidP="004D40F9">
            <w:pPr>
              <w:pStyle w:val="ListParagraph"/>
              <w:ind w:left="0"/>
              <w:rPr>
                <w:rFonts w:cstheme="minorHAnsi"/>
                <w:sz w:val="20"/>
                <w:szCs w:val="20"/>
              </w:rPr>
            </w:pPr>
          </w:p>
        </w:tc>
      </w:tr>
      <w:tr w:rsidR="001A7E05" w:rsidRPr="006E751A" w14:paraId="49AAB727" w14:textId="77777777" w:rsidTr="00604541">
        <w:tc>
          <w:tcPr>
            <w:tcW w:w="977" w:type="dxa"/>
          </w:tcPr>
          <w:p w14:paraId="468CAA69" w14:textId="29634405"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227</w:t>
            </w:r>
          </w:p>
        </w:tc>
        <w:tc>
          <w:tcPr>
            <w:tcW w:w="1903" w:type="dxa"/>
          </w:tcPr>
          <w:p w14:paraId="1D72536A" w14:textId="41991E17"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A_S3IPAI</w:t>
            </w:r>
          </w:p>
        </w:tc>
        <w:tc>
          <w:tcPr>
            <w:tcW w:w="5788" w:type="dxa"/>
          </w:tcPr>
          <w:p w14:paraId="45F6D81C" w14:textId="22A65493"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Indoor all physical activity facilities (indoor conditioning,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9CD7268" w14:textId="77777777" w:rsidR="001A7E05" w:rsidRPr="00436535" w:rsidRDefault="001A7E05" w:rsidP="004D40F9">
            <w:pPr>
              <w:pStyle w:val="ListParagraph"/>
              <w:ind w:left="0"/>
              <w:rPr>
                <w:rFonts w:cstheme="minorHAnsi"/>
                <w:sz w:val="20"/>
                <w:szCs w:val="20"/>
              </w:rPr>
            </w:pPr>
          </w:p>
        </w:tc>
      </w:tr>
      <w:tr w:rsidR="001A7E05" w:rsidRPr="006E751A" w14:paraId="37CFE765" w14:textId="77777777" w:rsidTr="00604541">
        <w:tc>
          <w:tcPr>
            <w:tcW w:w="977" w:type="dxa"/>
          </w:tcPr>
          <w:p w14:paraId="0C75DE6C" w14:textId="60354051"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228</w:t>
            </w:r>
          </w:p>
        </w:tc>
        <w:tc>
          <w:tcPr>
            <w:tcW w:w="1903" w:type="dxa"/>
          </w:tcPr>
          <w:p w14:paraId="20E294A0" w14:textId="2A241F9D"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A_S3OPAI</w:t>
            </w:r>
          </w:p>
        </w:tc>
        <w:tc>
          <w:tcPr>
            <w:tcW w:w="5788" w:type="dxa"/>
          </w:tcPr>
          <w:p w14:paraId="2F6C8B3A" w14:textId="5B7960BA"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all Outdoor physical activity facilities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2260663" w14:textId="77777777" w:rsidR="001A7E05" w:rsidRPr="00436535" w:rsidRDefault="001A7E05" w:rsidP="004D40F9">
            <w:pPr>
              <w:pStyle w:val="ListParagraph"/>
              <w:ind w:left="0"/>
              <w:rPr>
                <w:rFonts w:cstheme="minorHAnsi"/>
                <w:sz w:val="20"/>
                <w:szCs w:val="20"/>
              </w:rPr>
            </w:pPr>
          </w:p>
        </w:tc>
      </w:tr>
      <w:tr w:rsidR="001A7E05" w:rsidRPr="006E751A" w14:paraId="1594A63F" w14:textId="77777777" w:rsidTr="00604541">
        <w:tc>
          <w:tcPr>
            <w:tcW w:w="977" w:type="dxa"/>
          </w:tcPr>
          <w:p w14:paraId="730BA605" w14:textId="75F14EB8"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229</w:t>
            </w:r>
          </w:p>
        </w:tc>
        <w:tc>
          <w:tcPr>
            <w:tcW w:w="1903" w:type="dxa"/>
          </w:tcPr>
          <w:p w14:paraId="20ED14EA" w14:textId="46DD99E9"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A_S3NRI</w:t>
            </w:r>
          </w:p>
        </w:tc>
        <w:tc>
          <w:tcPr>
            <w:tcW w:w="5788" w:type="dxa"/>
          </w:tcPr>
          <w:p w14:paraId="42481BAA" w14:textId="5A80A40C"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35A2D9C" w14:textId="77777777" w:rsidR="001A7E05" w:rsidRPr="00436535" w:rsidRDefault="001A7E05" w:rsidP="004D40F9">
            <w:pPr>
              <w:pStyle w:val="ListParagraph"/>
              <w:ind w:left="0"/>
              <w:rPr>
                <w:rFonts w:cstheme="minorHAnsi"/>
                <w:sz w:val="20"/>
                <w:szCs w:val="20"/>
              </w:rPr>
            </w:pPr>
          </w:p>
        </w:tc>
      </w:tr>
      <w:tr w:rsidR="001A7E05" w:rsidRPr="006E751A" w14:paraId="7FA16B20" w14:textId="77777777" w:rsidTr="00604541">
        <w:tc>
          <w:tcPr>
            <w:tcW w:w="977" w:type="dxa"/>
          </w:tcPr>
          <w:p w14:paraId="2E5E2B71" w14:textId="4565ED3E"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230</w:t>
            </w:r>
          </w:p>
        </w:tc>
        <w:tc>
          <w:tcPr>
            <w:tcW w:w="1903" w:type="dxa"/>
          </w:tcPr>
          <w:p w14:paraId="6DB55F0C" w14:textId="3E664B3F"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A_S3INRI</w:t>
            </w:r>
          </w:p>
        </w:tc>
        <w:tc>
          <w:tcPr>
            <w:tcW w:w="5788" w:type="dxa"/>
          </w:tcPr>
          <w:p w14:paraId="620C36C2" w14:textId="14225075"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Indoor physical activity facilities without recreational (indoor conditioning,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99DA3CB" w14:textId="77777777" w:rsidR="001A7E05" w:rsidRPr="00436535" w:rsidRDefault="001A7E05" w:rsidP="004D40F9">
            <w:pPr>
              <w:pStyle w:val="ListParagraph"/>
              <w:ind w:left="0"/>
              <w:rPr>
                <w:rFonts w:cstheme="minorHAnsi"/>
                <w:sz w:val="20"/>
                <w:szCs w:val="20"/>
              </w:rPr>
            </w:pPr>
          </w:p>
        </w:tc>
      </w:tr>
      <w:tr w:rsidR="001A7E05" w:rsidRPr="006E751A" w14:paraId="67B89C8A" w14:textId="77777777" w:rsidTr="00604541">
        <w:tc>
          <w:tcPr>
            <w:tcW w:w="977" w:type="dxa"/>
          </w:tcPr>
          <w:p w14:paraId="04CC8AEE" w14:textId="724B3BDC" w:rsidR="001A7E05" w:rsidRDefault="001A7E05" w:rsidP="001A7E05">
            <w:pPr>
              <w:tabs>
                <w:tab w:val="center" w:pos="6480"/>
              </w:tabs>
              <w:autoSpaceDE w:val="0"/>
              <w:autoSpaceDN w:val="0"/>
              <w:adjustRightInd w:val="0"/>
              <w:rPr>
                <w:rFonts w:cs="SAS Monospace"/>
                <w:sz w:val="20"/>
                <w:szCs w:val="20"/>
              </w:rPr>
            </w:pPr>
            <w:r>
              <w:rPr>
                <w:rFonts w:cs="SAS Monospace"/>
                <w:sz w:val="20"/>
                <w:szCs w:val="20"/>
              </w:rPr>
              <w:t>231</w:t>
            </w:r>
          </w:p>
        </w:tc>
        <w:tc>
          <w:tcPr>
            <w:tcW w:w="1903" w:type="dxa"/>
          </w:tcPr>
          <w:p w14:paraId="35FA8C3A" w14:textId="7561944A"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A_S3ONRI</w:t>
            </w:r>
          </w:p>
        </w:tc>
        <w:tc>
          <w:tcPr>
            <w:tcW w:w="5788" w:type="dxa"/>
          </w:tcPr>
          <w:p w14:paraId="67E256A6" w14:textId="037541CB" w:rsidR="001A7E05" w:rsidRDefault="001A7E05" w:rsidP="001A7E05">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Outdoor physical activity facilities without recreational (team sports, water activities, racquet sports, instructional)</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1230661" w14:textId="77777777" w:rsidR="001A7E05" w:rsidRPr="00436535" w:rsidRDefault="001A7E05" w:rsidP="004D40F9">
            <w:pPr>
              <w:pStyle w:val="ListParagraph"/>
              <w:ind w:left="0"/>
              <w:rPr>
                <w:rFonts w:cstheme="minorHAnsi"/>
                <w:sz w:val="20"/>
                <w:szCs w:val="20"/>
              </w:rPr>
            </w:pPr>
          </w:p>
        </w:tc>
      </w:tr>
      <w:tr w:rsidR="00292416" w:rsidRPr="006E751A" w14:paraId="2453B2A4" w14:textId="77777777" w:rsidTr="00604541">
        <w:tc>
          <w:tcPr>
            <w:tcW w:w="977" w:type="dxa"/>
          </w:tcPr>
          <w:p w14:paraId="0C38ABFA" w14:textId="423D3873" w:rsidR="00292416" w:rsidRDefault="00292416" w:rsidP="001A7E05">
            <w:pPr>
              <w:tabs>
                <w:tab w:val="center" w:pos="6480"/>
              </w:tabs>
              <w:autoSpaceDE w:val="0"/>
              <w:autoSpaceDN w:val="0"/>
              <w:adjustRightInd w:val="0"/>
              <w:rPr>
                <w:rFonts w:cs="SAS Monospace"/>
                <w:sz w:val="20"/>
                <w:szCs w:val="20"/>
              </w:rPr>
            </w:pPr>
            <w:r>
              <w:rPr>
                <w:rFonts w:cs="SAS Monospace"/>
                <w:sz w:val="20"/>
                <w:szCs w:val="20"/>
              </w:rPr>
              <w:t>232</w:t>
            </w:r>
          </w:p>
        </w:tc>
        <w:tc>
          <w:tcPr>
            <w:tcW w:w="1903" w:type="dxa"/>
          </w:tcPr>
          <w:p w14:paraId="752A409A" w14:textId="13880C1D"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ASDPAI</w:t>
            </w:r>
          </w:p>
        </w:tc>
        <w:tc>
          <w:tcPr>
            <w:tcW w:w="5788" w:type="dxa"/>
          </w:tcPr>
          <w:p w14:paraId="70FD4948" w14:textId="7BB21380"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all physical activity facilities (indoor conditioning, recreational, team sports, water activities, racquet sports, instructional) (meters)</w:t>
            </w:r>
            <w:r w:rsidRPr="00436535">
              <w:rPr>
                <w:rFonts w:cstheme="minorHAnsi"/>
                <w:sz w:val="20"/>
                <w:szCs w:val="20"/>
              </w:rPr>
              <w:t>.</w:t>
            </w:r>
          </w:p>
        </w:tc>
        <w:tc>
          <w:tcPr>
            <w:tcW w:w="1952" w:type="dxa"/>
          </w:tcPr>
          <w:p w14:paraId="3FF13A3B" w14:textId="77777777" w:rsidR="00292416" w:rsidRPr="00436535" w:rsidRDefault="00292416" w:rsidP="004D40F9">
            <w:pPr>
              <w:pStyle w:val="ListParagraph"/>
              <w:ind w:left="0"/>
              <w:rPr>
                <w:rFonts w:cstheme="minorHAnsi"/>
                <w:sz w:val="20"/>
                <w:szCs w:val="20"/>
              </w:rPr>
            </w:pPr>
          </w:p>
        </w:tc>
      </w:tr>
      <w:tr w:rsidR="00292416" w:rsidRPr="006E751A" w14:paraId="2DEF4D4F" w14:textId="77777777" w:rsidTr="00604541">
        <w:tc>
          <w:tcPr>
            <w:tcW w:w="977" w:type="dxa"/>
          </w:tcPr>
          <w:p w14:paraId="7770ACC4" w14:textId="3D9C2BEC" w:rsidR="00292416" w:rsidRDefault="00292416" w:rsidP="00292416">
            <w:pPr>
              <w:tabs>
                <w:tab w:val="center" w:pos="6480"/>
              </w:tabs>
              <w:autoSpaceDE w:val="0"/>
              <w:autoSpaceDN w:val="0"/>
              <w:adjustRightInd w:val="0"/>
              <w:rPr>
                <w:rFonts w:cs="SAS Monospace"/>
                <w:sz w:val="20"/>
                <w:szCs w:val="20"/>
              </w:rPr>
            </w:pPr>
            <w:r>
              <w:rPr>
                <w:rFonts w:cs="SAS Monospace"/>
                <w:sz w:val="20"/>
                <w:szCs w:val="20"/>
              </w:rPr>
              <w:t>233</w:t>
            </w:r>
          </w:p>
        </w:tc>
        <w:tc>
          <w:tcPr>
            <w:tcW w:w="1903" w:type="dxa"/>
          </w:tcPr>
          <w:p w14:paraId="38A0DAF5" w14:textId="2A18D565"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ASDIPAI</w:t>
            </w:r>
          </w:p>
        </w:tc>
        <w:tc>
          <w:tcPr>
            <w:tcW w:w="5788" w:type="dxa"/>
          </w:tcPr>
          <w:p w14:paraId="0DFCB74F" w14:textId="271EA67B"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Indoor all physical activity facilities (indoor conditioning, recreational, team sports, water activities, racquet sports, instructional) (meters)</w:t>
            </w:r>
            <w:r w:rsidRPr="00436535">
              <w:rPr>
                <w:rFonts w:cstheme="minorHAnsi"/>
                <w:sz w:val="20"/>
                <w:szCs w:val="20"/>
              </w:rPr>
              <w:t>.</w:t>
            </w:r>
          </w:p>
        </w:tc>
        <w:tc>
          <w:tcPr>
            <w:tcW w:w="1952" w:type="dxa"/>
          </w:tcPr>
          <w:p w14:paraId="3310FE0F" w14:textId="77777777" w:rsidR="00292416" w:rsidRPr="00436535" w:rsidRDefault="00292416" w:rsidP="004D40F9">
            <w:pPr>
              <w:pStyle w:val="ListParagraph"/>
              <w:ind w:left="0"/>
              <w:rPr>
                <w:rFonts w:cstheme="minorHAnsi"/>
                <w:sz w:val="20"/>
                <w:szCs w:val="20"/>
              </w:rPr>
            </w:pPr>
          </w:p>
        </w:tc>
      </w:tr>
      <w:tr w:rsidR="00292416" w:rsidRPr="006E751A" w14:paraId="0DF98244" w14:textId="77777777" w:rsidTr="00604541">
        <w:tc>
          <w:tcPr>
            <w:tcW w:w="977" w:type="dxa"/>
          </w:tcPr>
          <w:p w14:paraId="099EB27D" w14:textId="44DE844E" w:rsidR="00292416" w:rsidRDefault="00292416" w:rsidP="00292416">
            <w:pPr>
              <w:tabs>
                <w:tab w:val="center" w:pos="6480"/>
              </w:tabs>
              <w:autoSpaceDE w:val="0"/>
              <w:autoSpaceDN w:val="0"/>
              <w:adjustRightInd w:val="0"/>
              <w:rPr>
                <w:rFonts w:cs="SAS Monospace"/>
                <w:sz w:val="20"/>
                <w:szCs w:val="20"/>
              </w:rPr>
            </w:pPr>
            <w:r>
              <w:rPr>
                <w:rFonts w:cs="SAS Monospace"/>
                <w:sz w:val="20"/>
                <w:szCs w:val="20"/>
              </w:rPr>
              <w:t>234</w:t>
            </w:r>
          </w:p>
        </w:tc>
        <w:tc>
          <w:tcPr>
            <w:tcW w:w="1903" w:type="dxa"/>
          </w:tcPr>
          <w:p w14:paraId="283219B6" w14:textId="39B04CB2"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ASDOPAI</w:t>
            </w:r>
          </w:p>
        </w:tc>
        <w:tc>
          <w:tcPr>
            <w:tcW w:w="5788" w:type="dxa"/>
          </w:tcPr>
          <w:p w14:paraId="25112CB7" w14:textId="6A7C7842"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all Outdoor physical activity facilities (recreational, team sports, water activities, racquet sports, instructional) (meters)</w:t>
            </w:r>
            <w:r w:rsidRPr="00436535">
              <w:rPr>
                <w:rFonts w:cstheme="minorHAnsi"/>
                <w:sz w:val="20"/>
                <w:szCs w:val="20"/>
              </w:rPr>
              <w:t>.</w:t>
            </w:r>
          </w:p>
        </w:tc>
        <w:tc>
          <w:tcPr>
            <w:tcW w:w="1952" w:type="dxa"/>
          </w:tcPr>
          <w:p w14:paraId="1EED3AE7" w14:textId="77777777" w:rsidR="00292416" w:rsidRPr="00436535" w:rsidRDefault="00292416" w:rsidP="004D40F9">
            <w:pPr>
              <w:pStyle w:val="ListParagraph"/>
              <w:ind w:left="0"/>
              <w:rPr>
                <w:rFonts w:cstheme="minorHAnsi"/>
                <w:sz w:val="20"/>
                <w:szCs w:val="20"/>
              </w:rPr>
            </w:pPr>
          </w:p>
        </w:tc>
      </w:tr>
      <w:tr w:rsidR="00292416" w:rsidRPr="006E751A" w14:paraId="35F0CE35" w14:textId="77777777" w:rsidTr="00604541">
        <w:tc>
          <w:tcPr>
            <w:tcW w:w="977" w:type="dxa"/>
          </w:tcPr>
          <w:p w14:paraId="225E53A7" w14:textId="1A21FA83" w:rsidR="00292416" w:rsidRDefault="00292416" w:rsidP="00292416">
            <w:pPr>
              <w:tabs>
                <w:tab w:val="center" w:pos="6480"/>
              </w:tabs>
              <w:autoSpaceDE w:val="0"/>
              <w:autoSpaceDN w:val="0"/>
              <w:adjustRightInd w:val="0"/>
              <w:rPr>
                <w:rFonts w:cs="SAS Monospace"/>
                <w:sz w:val="20"/>
                <w:szCs w:val="20"/>
              </w:rPr>
            </w:pPr>
            <w:r>
              <w:rPr>
                <w:rFonts w:cs="SAS Monospace"/>
                <w:sz w:val="20"/>
                <w:szCs w:val="20"/>
              </w:rPr>
              <w:t>235</w:t>
            </w:r>
          </w:p>
        </w:tc>
        <w:tc>
          <w:tcPr>
            <w:tcW w:w="1903" w:type="dxa"/>
          </w:tcPr>
          <w:p w14:paraId="17BBE8DD" w14:textId="1700BE15"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ASDNRI</w:t>
            </w:r>
          </w:p>
        </w:tc>
        <w:tc>
          <w:tcPr>
            <w:tcW w:w="5788" w:type="dxa"/>
          </w:tcPr>
          <w:p w14:paraId="1EE12CCC" w14:textId="59E16E64"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physical activity facilities without recreational (indoor conditioning, team sports, water activities, racquet sports, instructional) (meters)</w:t>
            </w:r>
            <w:r w:rsidRPr="00436535">
              <w:rPr>
                <w:rFonts w:cstheme="minorHAnsi"/>
                <w:sz w:val="20"/>
                <w:szCs w:val="20"/>
              </w:rPr>
              <w:t>.</w:t>
            </w:r>
          </w:p>
        </w:tc>
        <w:tc>
          <w:tcPr>
            <w:tcW w:w="1952" w:type="dxa"/>
          </w:tcPr>
          <w:p w14:paraId="3F803EAA" w14:textId="77777777" w:rsidR="00292416" w:rsidRPr="00436535" w:rsidRDefault="00292416" w:rsidP="004D40F9">
            <w:pPr>
              <w:pStyle w:val="ListParagraph"/>
              <w:ind w:left="0"/>
              <w:rPr>
                <w:rFonts w:cstheme="minorHAnsi"/>
                <w:sz w:val="20"/>
                <w:szCs w:val="20"/>
              </w:rPr>
            </w:pPr>
          </w:p>
        </w:tc>
      </w:tr>
      <w:tr w:rsidR="00292416" w:rsidRPr="006E751A" w14:paraId="1DE79853" w14:textId="77777777" w:rsidTr="00604541">
        <w:tc>
          <w:tcPr>
            <w:tcW w:w="977" w:type="dxa"/>
          </w:tcPr>
          <w:p w14:paraId="7ED1F12C" w14:textId="3854E618" w:rsidR="00292416" w:rsidRDefault="00292416" w:rsidP="00292416">
            <w:pPr>
              <w:tabs>
                <w:tab w:val="center" w:pos="6480"/>
              </w:tabs>
              <w:autoSpaceDE w:val="0"/>
              <w:autoSpaceDN w:val="0"/>
              <w:adjustRightInd w:val="0"/>
              <w:rPr>
                <w:rFonts w:cs="SAS Monospace"/>
                <w:sz w:val="20"/>
                <w:szCs w:val="20"/>
              </w:rPr>
            </w:pPr>
            <w:r>
              <w:rPr>
                <w:rFonts w:cs="SAS Monospace"/>
                <w:sz w:val="20"/>
                <w:szCs w:val="20"/>
              </w:rPr>
              <w:t>236</w:t>
            </w:r>
          </w:p>
        </w:tc>
        <w:tc>
          <w:tcPr>
            <w:tcW w:w="1903" w:type="dxa"/>
          </w:tcPr>
          <w:p w14:paraId="571E147A" w14:textId="53F7607A"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ASDINRI</w:t>
            </w:r>
          </w:p>
        </w:tc>
        <w:tc>
          <w:tcPr>
            <w:tcW w:w="5788" w:type="dxa"/>
          </w:tcPr>
          <w:p w14:paraId="380470F3" w14:textId="6A0AEB49"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Indoor physical activity facilities without recreational (indoor conditioning, team sports, water activities, racquet sports, instructional) (meters)</w:t>
            </w:r>
            <w:r w:rsidRPr="00436535">
              <w:rPr>
                <w:rFonts w:cstheme="minorHAnsi"/>
                <w:sz w:val="20"/>
                <w:szCs w:val="20"/>
              </w:rPr>
              <w:t>.</w:t>
            </w:r>
          </w:p>
        </w:tc>
        <w:tc>
          <w:tcPr>
            <w:tcW w:w="1952" w:type="dxa"/>
          </w:tcPr>
          <w:p w14:paraId="1D6DF1F2" w14:textId="77777777" w:rsidR="00292416" w:rsidRPr="00436535" w:rsidRDefault="00292416" w:rsidP="004D40F9">
            <w:pPr>
              <w:pStyle w:val="ListParagraph"/>
              <w:ind w:left="0"/>
              <w:rPr>
                <w:rFonts w:cstheme="minorHAnsi"/>
                <w:sz w:val="20"/>
                <w:szCs w:val="20"/>
              </w:rPr>
            </w:pPr>
          </w:p>
        </w:tc>
      </w:tr>
      <w:tr w:rsidR="00292416" w:rsidRPr="006E751A" w14:paraId="500F5AA3" w14:textId="77777777" w:rsidTr="00604541">
        <w:tc>
          <w:tcPr>
            <w:tcW w:w="977" w:type="dxa"/>
          </w:tcPr>
          <w:p w14:paraId="07A42D8B" w14:textId="2C0BF28C" w:rsidR="00292416" w:rsidRDefault="00292416" w:rsidP="00292416">
            <w:pPr>
              <w:tabs>
                <w:tab w:val="center" w:pos="6480"/>
              </w:tabs>
              <w:autoSpaceDE w:val="0"/>
              <w:autoSpaceDN w:val="0"/>
              <w:adjustRightInd w:val="0"/>
              <w:rPr>
                <w:rFonts w:cs="SAS Monospace"/>
                <w:sz w:val="20"/>
                <w:szCs w:val="20"/>
              </w:rPr>
            </w:pPr>
            <w:r>
              <w:rPr>
                <w:rFonts w:cs="SAS Monospace"/>
                <w:sz w:val="20"/>
                <w:szCs w:val="20"/>
              </w:rPr>
              <w:t>237</w:t>
            </w:r>
          </w:p>
        </w:tc>
        <w:tc>
          <w:tcPr>
            <w:tcW w:w="1903" w:type="dxa"/>
          </w:tcPr>
          <w:p w14:paraId="4073D00A" w14:textId="20C8A782"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ASDONRI</w:t>
            </w:r>
          </w:p>
        </w:tc>
        <w:tc>
          <w:tcPr>
            <w:tcW w:w="5788" w:type="dxa"/>
          </w:tcPr>
          <w:p w14:paraId="3600DF5C" w14:textId="1E8DB018" w:rsidR="00292416" w:rsidRDefault="00292416" w:rsidP="00292416">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 xml:space="preserve">Outdoor physical activity facilities without recreational (team sports, water activities, racquet sports, </w:t>
            </w:r>
            <w:r>
              <w:rPr>
                <w:rFonts w:cstheme="minorHAnsi"/>
                <w:sz w:val="20"/>
                <w:szCs w:val="20"/>
              </w:rPr>
              <w:lastRenderedPageBreak/>
              <w:t>instructional) (meters)</w:t>
            </w:r>
            <w:r w:rsidRPr="00436535">
              <w:rPr>
                <w:rFonts w:cstheme="minorHAnsi"/>
                <w:sz w:val="20"/>
                <w:szCs w:val="20"/>
              </w:rPr>
              <w:t>.</w:t>
            </w:r>
          </w:p>
        </w:tc>
        <w:tc>
          <w:tcPr>
            <w:tcW w:w="1952" w:type="dxa"/>
          </w:tcPr>
          <w:p w14:paraId="5A858A16" w14:textId="77777777" w:rsidR="00292416" w:rsidRPr="00436535" w:rsidRDefault="00292416" w:rsidP="004D40F9">
            <w:pPr>
              <w:pStyle w:val="ListParagraph"/>
              <w:ind w:left="0"/>
              <w:rPr>
                <w:rFonts w:cstheme="minorHAnsi"/>
                <w:sz w:val="20"/>
                <w:szCs w:val="20"/>
              </w:rPr>
            </w:pPr>
          </w:p>
        </w:tc>
      </w:tr>
      <w:tr w:rsidR="00CE4BB7" w:rsidRPr="006E751A" w14:paraId="6649853B" w14:textId="77777777" w:rsidTr="00604541">
        <w:tc>
          <w:tcPr>
            <w:tcW w:w="977" w:type="dxa"/>
          </w:tcPr>
          <w:p w14:paraId="43B06FA9" w14:textId="77777777" w:rsidR="00CE4BB7" w:rsidRDefault="00CE4BB7" w:rsidP="00292416">
            <w:pPr>
              <w:tabs>
                <w:tab w:val="center" w:pos="6480"/>
              </w:tabs>
              <w:autoSpaceDE w:val="0"/>
              <w:autoSpaceDN w:val="0"/>
              <w:adjustRightInd w:val="0"/>
              <w:rPr>
                <w:rFonts w:cs="SAS Monospace"/>
                <w:sz w:val="20"/>
                <w:szCs w:val="20"/>
              </w:rPr>
            </w:pPr>
          </w:p>
        </w:tc>
        <w:tc>
          <w:tcPr>
            <w:tcW w:w="1903" w:type="dxa"/>
          </w:tcPr>
          <w:p w14:paraId="62B8719F" w14:textId="77777777" w:rsidR="00CE4BB7" w:rsidRPr="00436535" w:rsidRDefault="00CE4BB7" w:rsidP="00292416">
            <w:pPr>
              <w:tabs>
                <w:tab w:val="center" w:pos="6480"/>
              </w:tabs>
              <w:autoSpaceDE w:val="0"/>
              <w:autoSpaceDN w:val="0"/>
              <w:adjustRightInd w:val="0"/>
              <w:rPr>
                <w:rFonts w:cstheme="minorHAnsi"/>
                <w:sz w:val="20"/>
                <w:szCs w:val="20"/>
              </w:rPr>
            </w:pPr>
          </w:p>
        </w:tc>
        <w:tc>
          <w:tcPr>
            <w:tcW w:w="5788" w:type="dxa"/>
          </w:tcPr>
          <w:p w14:paraId="58EBC8B0" w14:textId="77777777" w:rsidR="00CE4BB7" w:rsidRDefault="00CE4BB7" w:rsidP="00292416">
            <w:pPr>
              <w:tabs>
                <w:tab w:val="center" w:pos="6480"/>
              </w:tabs>
              <w:autoSpaceDE w:val="0"/>
              <w:autoSpaceDN w:val="0"/>
              <w:adjustRightInd w:val="0"/>
              <w:rPr>
                <w:rFonts w:cstheme="minorHAnsi"/>
                <w:sz w:val="20"/>
                <w:szCs w:val="20"/>
              </w:rPr>
            </w:pPr>
          </w:p>
        </w:tc>
        <w:tc>
          <w:tcPr>
            <w:tcW w:w="1952" w:type="dxa"/>
          </w:tcPr>
          <w:p w14:paraId="687EDF4D" w14:textId="77777777" w:rsidR="00CE4BB7" w:rsidRPr="00436535" w:rsidRDefault="00CE4BB7" w:rsidP="004D40F9">
            <w:pPr>
              <w:pStyle w:val="ListParagraph"/>
              <w:ind w:left="0"/>
              <w:rPr>
                <w:rFonts w:cstheme="minorHAnsi"/>
                <w:sz w:val="20"/>
                <w:szCs w:val="20"/>
              </w:rPr>
            </w:pPr>
          </w:p>
        </w:tc>
      </w:tr>
      <w:tr w:rsidR="00CE4BB7" w:rsidRPr="006E751A" w14:paraId="42DF3B9E" w14:textId="77777777" w:rsidTr="00D4068B">
        <w:tc>
          <w:tcPr>
            <w:tcW w:w="10620" w:type="dxa"/>
            <w:gridSpan w:val="4"/>
          </w:tcPr>
          <w:p w14:paraId="59C70387" w14:textId="297FD145" w:rsidR="00CE4BB7" w:rsidRPr="00CE4BB7" w:rsidRDefault="00CE4BB7" w:rsidP="004D40F9">
            <w:pPr>
              <w:pStyle w:val="ListParagraph"/>
              <w:ind w:left="0"/>
              <w:rPr>
                <w:rFonts w:cstheme="minorHAnsi"/>
                <w:b/>
                <w:sz w:val="20"/>
                <w:szCs w:val="20"/>
              </w:rPr>
            </w:pPr>
            <w:r w:rsidRPr="00CE4BB7">
              <w:rPr>
                <w:rFonts w:cs="SAS Monospace"/>
                <w:b/>
                <w:sz w:val="20"/>
                <w:szCs w:val="20"/>
              </w:rPr>
              <w:t>SOCIAL ENGAGEMENT DESTINATIONS</w:t>
            </w:r>
          </w:p>
        </w:tc>
      </w:tr>
      <w:tr w:rsidR="006048CE" w:rsidRPr="006E751A" w14:paraId="2E7A02BE" w14:textId="77777777" w:rsidTr="00604541">
        <w:tc>
          <w:tcPr>
            <w:tcW w:w="977" w:type="dxa"/>
          </w:tcPr>
          <w:p w14:paraId="2127006C" w14:textId="19C7F4BD" w:rsidR="006048CE" w:rsidRDefault="006048CE" w:rsidP="00292416">
            <w:pPr>
              <w:tabs>
                <w:tab w:val="center" w:pos="6480"/>
              </w:tabs>
              <w:autoSpaceDE w:val="0"/>
              <w:autoSpaceDN w:val="0"/>
              <w:adjustRightInd w:val="0"/>
              <w:rPr>
                <w:rFonts w:cs="SAS Monospace"/>
                <w:sz w:val="20"/>
                <w:szCs w:val="20"/>
              </w:rPr>
            </w:pPr>
            <w:r>
              <w:rPr>
                <w:rFonts w:cs="SAS Monospace"/>
                <w:sz w:val="20"/>
                <w:szCs w:val="20"/>
              </w:rPr>
              <w:t>238</w:t>
            </w:r>
          </w:p>
        </w:tc>
        <w:tc>
          <w:tcPr>
            <w:tcW w:w="1903" w:type="dxa"/>
          </w:tcPr>
          <w:p w14:paraId="7047E062" w14:textId="6BEEA768" w:rsidR="006048CE" w:rsidRDefault="006048CE" w:rsidP="0029241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0REL</w:t>
            </w:r>
          </w:p>
        </w:tc>
        <w:tc>
          <w:tcPr>
            <w:tcW w:w="5788" w:type="dxa"/>
          </w:tcPr>
          <w:p w14:paraId="107815CD" w14:textId="3E429A8A" w:rsidR="006048CE" w:rsidRDefault="006048CE" w:rsidP="00292416">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69E9193C" w14:textId="77777777" w:rsidR="006048CE" w:rsidRPr="00436535" w:rsidRDefault="006048CE" w:rsidP="004D40F9">
            <w:pPr>
              <w:pStyle w:val="ListParagraph"/>
              <w:ind w:left="0"/>
              <w:rPr>
                <w:rFonts w:cstheme="minorHAnsi"/>
                <w:sz w:val="20"/>
                <w:szCs w:val="20"/>
              </w:rPr>
            </w:pPr>
          </w:p>
        </w:tc>
      </w:tr>
      <w:tr w:rsidR="006048CE" w:rsidRPr="006E751A" w14:paraId="61A9F54D" w14:textId="77777777" w:rsidTr="00604541">
        <w:tc>
          <w:tcPr>
            <w:tcW w:w="977" w:type="dxa"/>
          </w:tcPr>
          <w:p w14:paraId="7970B4FF" w14:textId="50347718" w:rsidR="006048CE" w:rsidRDefault="006048CE" w:rsidP="00292416">
            <w:pPr>
              <w:tabs>
                <w:tab w:val="center" w:pos="6480"/>
              </w:tabs>
              <w:autoSpaceDE w:val="0"/>
              <w:autoSpaceDN w:val="0"/>
              <w:adjustRightInd w:val="0"/>
              <w:rPr>
                <w:rFonts w:cs="SAS Monospace"/>
                <w:sz w:val="20"/>
                <w:szCs w:val="20"/>
              </w:rPr>
            </w:pPr>
            <w:r>
              <w:rPr>
                <w:rFonts w:cs="SAS Monospace"/>
                <w:sz w:val="20"/>
                <w:szCs w:val="20"/>
              </w:rPr>
              <w:t>239</w:t>
            </w:r>
          </w:p>
        </w:tc>
        <w:tc>
          <w:tcPr>
            <w:tcW w:w="1903" w:type="dxa"/>
          </w:tcPr>
          <w:p w14:paraId="73DC9F1B" w14:textId="07C9B1AF" w:rsidR="006048CE" w:rsidRPr="00436535" w:rsidRDefault="006048CE" w:rsidP="00292416">
            <w:pPr>
              <w:tabs>
                <w:tab w:val="center" w:pos="6480"/>
              </w:tabs>
              <w:autoSpaceDE w:val="0"/>
              <w:autoSpaceDN w:val="0"/>
              <w:adjustRightInd w:val="0"/>
              <w:rPr>
                <w:rFonts w:cstheme="minorHAnsi"/>
                <w:sz w:val="20"/>
                <w:szCs w:val="20"/>
              </w:rPr>
            </w:pPr>
            <w:r>
              <w:rPr>
                <w:rFonts w:cstheme="minorHAnsi"/>
                <w:sz w:val="20"/>
                <w:szCs w:val="20"/>
              </w:rPr>
              <w:t>K0CULTURE</w:t>
            </w:r>
          </w:p>
        </w:tc>
        <w:tc>
          <w:tcPr>
            <w:tcW w:w="5788" w:type="dxa"/>
          </w:tcPr>
          <w:p w14:paraId="71D0D467" w14:textId="65C0804C" w:rsidR="006048CE" w:rsidRDefault="006048CE" w:rsidP="006048CE">
            <w:pPr>
              <w:tabs>
                <w:tab w:val="center" w:pos="6480"/>
              </w:tabs>
              <w:autoSpaceDE w:val="0"/>
              <w:autoSpaceDN w:val="0"/>
              <w:adjustRightInd w:val="0"/>
              <w:rPr>
                <w:rFonts w:cstheme="minorHAnsi"/>
                <w:sz w:val="20"/>
                <w:szCs w:val="20"/>
              </w:rPr>
            </w:pPr>
            <w:r>
              <w:rPr>
                <w:rFonts w:cstheme="minorHAnsi"/>
                <w:sz w:val="20"/>
                <w:szCs w:val="20"/>
              </w:rPr>
              <w:t>1/2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3716E86" w14:textId="77777777" w:rsidR="006048CE" w:rsidRPr="00436535" w:rsidRDefault="006048CE" w:rsidP="004D40F9">
            <w:pPr>
              <w:pStyle w:val="ListParagraph"/>
              <w:ind w:left="0"/>
              <w:rPr>
                <w:rFonts w:cstheme="minorHAnsi"/>
                <w:sz w:val="20"/>
                <w:szCs w:val="20"/>
              </w:rPr>
            </w:pPr>
          </w:p>
        </w:tc>
      </w:tr>
      <w:tr w:rsidR="006048CE" w:rsidRPr="006E751A" w14:paraId="1B95CECC" w14:textId="77777777" w:rsidTr="00604541">
        <w:tc>
          <w:tcPr>
            <w:tcW w:w="977" w:type="dxa"/>
          </w:tcPr>
          <w:p w14:paraId="2A4F1F0B" w14:textId="3AF816B2" w:rsidR="006048CE" w:rsidRDefault="006048CE" w:rsidP="00292416">
            <w:pPr>
              <w:tabs>
                <w:tab w:val="center" w:pos="6480"/>
              </w:tabs>
              <w:autoSpaceDE w:val="0"/>
              <w:autoSpaceDN w:val="0"/>
              <w:adjustRightInd w:val="0"/>
              <w:rPr>
                <w:rFonts w:cs="SAS Monospace"/>
                <w:sz w:val="20"/>
                <w:szCs w:val="20"/>
              </w:rPr>
            </w:pPr>
            <w:r>
              <w:rPr>
                <w:rFonts w:cs="SAS Monospace"/>
                <w:sz w:val="20"/>
                <w:szCs w:val="20"/>
              </w:rPr>
              <w:t>240</w:t>
            </w:r>
          </w:p>
        </w:tc>
        <w:tc>
          <w:tcPr>
            <w:tcW w:w="1903" w:type="dxa"/>
          </w:tcPr>
          <w:p w14:paraId="3866B2F3" w14:textId="182D6A24" w:rsidR="006048CE" w:rsidRDefault="006048CE" w:rsidP="00292416">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0SOC</w:t>
            </w:r>
          </w:p>
        </w:tc>
        <w:tc>
          <w:tcPr>
            <w:tcW w:w="5788" w:type="dxa"/>
          </w:tcPr>
          <w:p w14:paraId="56EBF8D4" w14:textId="1084624D" w:rsidR="006048CE" w:rsidRDefault="006048CE" w:rsidP="006048CE">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35B5D414" w14:textId="77777777" w:rsidR="006048CE" w:rsidRPr="00436535" w:rsidRDefault="006048CE" w:rsidP="004D40F9">
            <w:pPr>
              <w:pStyle w:val="ListParagraph"/>
              <w:ind w:left="0"/>
              <w:rPr>
                <w:rFonts w:cstheme="minorHAnsi"/>
                <w:sz w:val="20"/>
                <w:szCs w:val="20"/>
              </w:rPr>
            </w:pPr>
          </w:p>
        </w:tc>
      </w:tr>
      <w:tr w:rsidR="006048CE" w:rsidRPr="006E751A" w14:paraId="200EEB04" w14:textId="77777777" w:rsidTr="00604541">
        <w:tc>
          <w:tcPr>
            <w:tcW w:w="977" w:type="dxa"/>
          </w:tcPr>
          <w:p w14:paraId="2FD8C49B" w14:textId="3258AD05" w:rsidR="006048CE" w:rsidRDefault="006048CE" w:rsidP="00292416">
            <w:pPr>
              <w:tabs>
                <w:tab w:val="center" w:pos="6480"/>
              </w:tabs>
              <w:autoSpaceDE w:val="0"/>
              <w:autoSpaceDN w:val="0"/>
              <w:adjustRightInd w:val="0"/>
              <w:rPr>
                <w:rFonts w:cs="SAS Monospace"/>
                <w:sz w:val="20"/>
                <w:szCs w:val="20"/>
              </w:rPr>
            </w:pPr>
            <w:r>
              <w:rPr>
                <w:rFonts w:cs="SAS Monospace"/>
                <w:sz w:val="20"/>
                <w:szCs w:val="20"/>
              </w:rPr>
              <w:t>241</w:t>
            </w:r>
          </w:p>
        </w:tc>
        <w:tc>
          <w:tcPr>
            <w:tcW w:w="1903" w:type="dxa"/>
          </w:tcPr>
          <w:p w14:paraId="29FB44B4" w14:textId="0EF269E4" w:rsidR="006048CE" w:rsidRPr="00436535" w:rsidRDefault="006048CE" w:rsidP="0029241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0REL</w:t>
            </w:r>
          </w:p>
        </w:tc>
        <w:tc>
          <w:tcPr>
            <w:tcW w:w="5788" w:type="dxa"/>
          </w:tcPr>
          <w:p w14:paraId="2787716D" w14:textId="5657B563" w:rsidR="006048CE" w:rsidRDefault="006048CE" w:rsidP="006048CE">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21739BE" w14:textId="77777777" w:rsidR="006048CE" w:rsidRPr="00436535" w:rsidRDefault="006048CE" w:rsidP="004D40F9">
            <w:pPr>
              <w:pStyle w:val="ListParagraph"/>
              <w:ind w:left="0"/>
              <w:rPr>
                <w:rFonts w:cstheme="minorHAnsi"/>
                <w:sz w:val="20"/>
                <w:szCs w:val="20"/>
              </w:rPr>
            </w:pPr>
          </w:p>
        </w:tc>
      </w:tr>
      <w:tr w:rsidR="006048CE" w:rsidRPr="006E751A" w14:paraId="756A30D0" w14:textId="77777777" w:rsidTr="00604541">
        <w:tc>
          <w:tcPr>
            <w:tcW w:w="977" w:type="dxa"/>
          </w:tcPr>
          <w:p w14:paraId="7D2B39C9" w14:textId="6E082C4B" w:rsidR="006048CE" w:rsidRDefault="006048CE" w:rsidP="006048CE">
            <w:pPr>
              <w:tabs>
                <w:tab w:val="center" w:pos="6480"/>
              </w:tabs>
              <w:autoSpaceDE w:val="0"/>
              <w:autoSpaceDN w:val="0"/>
              <w:adjustRightInd w:val="0"/>
              <w:rPr>
                <w:rFonts w:cs="SAS Monospace"/>
                <w:sz w:val="20"/>
                <w:szCs w:val="20"/>
              </w:rPr>
            </w:pPr>
            <w:r>
              <w:rPr>
                <w:rFonts w:cs="SAS Monospace"/>
                <w:sz w:val="20"/>
                <w:szCs w:val="20"/>
              </w:rPr>
              <w:t>242</w:t>
            </w:r>
          </w:p>
        </w:tc>
        <w:tc>
          <w:tcPr>
            <w:tcW w:w="1903" w:type="dxa"/>
          </w:tcPr>
          <w:p w14:paraId="7E54C7C8" w14:textId="0279A070" w:rsidR="006048CE" w:rsidRPr="00436535" w:rsidRDefault="006048CE" w:rsidP="00292416">
            <w:pPr>
              <w:tabs>
                <w:tab w:val="center" w:pos="6480"/>
              </w:tabs>
              <w:autoSpaceDE w:val="0"/>
              <w:autoSpaceDN w:val="0"/>
              <w:adjustRightInd w:val="0"/>
              <w:rPr>
                <w:rFonts w:cstheme="minorHAnsi"/>
                <w:sz w:val="20"/>
                <w:szCs w:val="20"/>
              </w:rPr>
            </w:pPr>
            <w:r>
              <w:rPr>
                <w:rFonts w:cstheme="minorHAnsi"/>
                <w:sz w:val="20"/>
                <w:szCs w:val="20"/>
              </w:rPr>
              <w:t>A_K0CULTURE</w:t>
            </w:r>
          </w:p>
        </w:tc>
        <w:tc>
          <w:tcPr>
            <w:tcW w:w="5788" w:type="dxa"/>
          </w:tcPr>
          <w:p w14:paraId="158135ED" w14:textId="0F0CA65B" w:rsidR="006048CE" w:rsidRDefault="006048CE" w:rsidP="006048CE">
            <w:pPr>
              <w:tabs>
                <w:tab w:val="center" w:pos="6480"/>
              </w:tabs>
              <w:autoSpaceDE w:val="0"/>
              <w:autoSpaceDN w:val="0"/>
              <w:adjustRightInd w:val="0"/>
              <w:rPr>
                <w:rFonts w:cstheme="minorHAnsi"/>
                <w:sz w:val="20"/>
                <w:szCs w:val="20"/>
              </w:rPr>
            </w:pPr>
            <w:r>
              <w:rPr>
                <w:rFonts w:cstheme="minorHAnsi"/>
                <w:sz w:val="20"/>
                <w:szCs w:val="20"/>
              </w:rPr>
              <w:t>Cumulative average of 1/2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8FE78BA" w14:textId="77777777" w:rsidR="006048CE" w:rsidRPr="00436535" w:rsidRDefault="006048CE" w:rsidP="004D40F9">
            <w:pPr>
              <w:pStyle w:val="ListParagraph"/>
              <w:ind w:left="0"/>
              <w:rPr>
                <w:rFonts w:cstheme="minorHAnsi"/>
                <w:sz w:val="20"/>
                <w:szCs w:val="20"/>
              </w:rPr>
            </w:pPr>
          </w:p>
        </w:tc>
      </w:tr>
      <w:tr w:rsidR="006048CE" w:rsidRPr="006E751A" w14:paraId="70B802C0" w14:textId="77777777" w:rsidTr="00604541">
        <w:tc>
          <w:tcPr>
            <w:tcW w:w="977" w:type="dxa"/>
          </w:tcPr>
          <w:p w14:paraId="1453D590" w14:textId="4A98199B" w:rsidR="006048CE" w:rsidRDefault="006048CE" w:rsidP="006048CE">
            <w:pPr>
              <w:tabs>
                <w:tab w:val="center" w:pos="6480"/>
              </w:tabs>
              <w:autoSpaceDE w:val="0"/>
              <w:autoSpaceDN w:val="0"/>
              <w:adjustRightInd w:val="0"/>
              <w:rPr>
                <w:rFonts w:cs="SAS Monospace"/>
                <w:sz w:val="20"/>
                <w:szCs w:val="20"/>
              </w:rPr>
            </w:pPr>
            <w:r>
              <w:rPr>
                <w:rFonts w:cs="SAS Monospace"/>
                <w:sz w:val="20"/>
                <w:szCs w:val="20"/>
              </w:rPr>
              <w:t>243</w:t>
            </w:r>
          </w:p>
        </w:tc>
        <w:tc>
          <w:tcPr>
            <w:tcW w:w="1903" w:type="dxa"/>
          </w:tcPr>
          <w:p w14:paraId="6F34A710" w14:textId="481B196A" w:rsidR="006048CE" w:rsidRDefault="006048CE" w:rsidP="00292416">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0SOC</w:t>
            </w:r>
          </w:p>
        </w:tc>
        <w:tc>
          <w:tcPr>
            <w:tcW w:w="5788" w:type="dxa"/>
          </w:tcPr>
          <w:p w14:paraId="51FA0207" w14:textId="52AAC3A2" w:rsidR="006048CE" w:rsidRDefault="006048CE" w:rsidP="006048CE">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F2CB210" w14:textId="77777777" w:rsidR="006048CE" w:rsidRPr="00436535" w:rsidRDefault="006048CE" w:rsidP="004D40F9">
            <w:pPr>
              <w:pStyle w:val="ListParagraph"/>
              <w:ind w:left="0"/>
              <w:rPr>
                <w:rFonts w:cstheme="minorHAnsi"/>
                <w:sz w:val="20"/>
                <w:szCs w:val="20"/>
              </w:rPr>
            </w:pPr>
          </w:p>
        </w:tc>
      </w:tr>
      <w:tr w:rsidR="00DD4AA9" w:rsidRPr="006E751A" w14:paraId="44A89EA2" w14:textId="77777777" w:rsidTr="00604541">
        <w:tc>
          <w:tcPr>
            <w:tcW w:w="977" w:type="dxa"/>
          </w:tcPr>
          <w:p w14:paraId="050A27C4" w14:textId="6A84EF0F" w:rsidR="00DD4AA9" w:rsidRDefault="00DD4AA9" w:rsidP="006048CE">
            <w:pPr>
              <w:tabs>
                <w:tab w:val="center" w:pos="6480"/>
              </w:tabs>
              <w:autoSpaceDE w:val="0"/>
              <w:autoSpaceDN w:val="0"/>
              <w:adjustRightInd w:val="0"/>
              <w:rPr>
                <w:rFonts w:cs="SAS Monospace"/>
                <w:sz w:val="20"/>
                <w:szCs w:val="20"/>
              </w:rPr>
            </w:pPr>
            <w:r>
              <w:rPr>
                <w:rFonts w:cs="SAS Monospace"/>
                <w:sz w:val="20"/>
                <w:szCs w:val="20"/>
              </w:rPr>
              <w:t>244</w:t>
            </w:r>
          </w:p>
        </w:tc>
        <w:tc>
          <w:tcPr>
            <w:tcW w:w="1903" w:type="dxa"/>
          </w:tcPr>
          <w:p w14:paraId="71A4374F" w14:textId="47D44542" w:rsidR="00DD4AA9" w:rsidRDefault="00DD4AA9" w:rsidP="00DD4AA9">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1REL</w:t>
            </w:r>
          </w:p>
        </w:tc>
        <w:tc>
          <w:tcPr>
            <w:tcW w:w="5788" w:type="dxa"/>
          </w:tcPr>
          <w:p w14:paraId="43EAB8E0" w14:textId="6A0C7A1D"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EC347DD" w14:textId="77777777" w:rsidR="00DD4AA9" w:rsidRPr="00436535" w:rsidRDefault="00DD4AA9" w:rsidP="004D40F9">
            <w:pPr>
              <w:pStyle w:val="ListParagraph"/>
              <w:ind w:left="0"/>
              <w:rPr>
                <w:rFonts w:cstheme="minorHAnsi"/>
                <w:sz w:val="20"/>
                <w:szCs w:val="20"/>
              </w:rPr>
            </w:pPr>
          </w:p>
        </w:tc>
      </w:tr>
      <w:tr w:rsidR="00DD4AA9" w:rsidRPr="006E751A" w14:paraId="7F88AB4D" w14:textId="77777777" w:rsidTr="00604541">
        <w:tc>
          <w:tcPr>
            <w:tcW w:w="977" w:type="dxa"/>
          </w:tcPr>
          <w:p w14:paraId="0A7ECB98" w14:textId="1952857E" w:rsidR="00DD4AA9" w:rsidRDefault="00DD4AA9" w:rsidP="00DD4AA9">
            <w:pPr>
              <w:tabs>
                <w:tab w:val="center" w:pos="6480"/>
              </w:tabs>
              <w:autoSpaceDE w:val="0"/>
              <w:autoSpaceDN w:val="0"/>
              <w:adjustRightInd w:val="0"/>
              <w:rPr>
                <w:rFonts w:cs="SAS Monospace"/>
                <w:sz w:val="20"/>
                <w:szCs w:val="20"/>
              </w:rPr>
            </w:pPr>
            <w:r>
              <w:rPr>
                <w:rFonts w:cs="SAS Monospace"/>
                <w:sz w:val="20"/>
                <w:szCs w:val="20"/>
              </w:rPr>
              <w:t>245</w:t>
            </w:r>
          </w:p>
        </w:tc>
        <w:tc>
          <w:tcPr>
            <w:tcW w:w="1903" w:type="dxa"/>
          </w:tcPr>
          <w:p w14:paraId="3D55453C" w14:textId="30D69DD5" w:rsidR="00DD4AA9" w:rsidRPr="00436535" w:rsidRDefault="00DD4AA9" w:rsidP="00DD4AA9">
            <w:pPr>
              <w:tabs>
                <w:tab w:val="center" w:pos="6480"/>
              </w:tabs>
              <w:autoSpaceDE w:val="0"/>
              <w:autoSpaceDN w:val="0"/>
              <w:adjustRightInd w:val="0"/>
              <w:rPr>
                <w:rFonts w:cstheme="minorHAnsi"/>
                <w:sz w:val="20"/>
                <w:szCs w:val="20"/>
              </w:rPr>
            </w:pPr>
            <w:r>
              <w:rPr>
                <w:rFonts w:cstheme="minorHAnsi"/>
                <w:sz w:val="20"/>
                <w:szCs w:val="20"/>
              </w:rPr>
              <w:t>K1CULTURE</w:t>
            </w:r>
          </w:p>
        </w:tc>
        <w:tc>
          <w:tcPr>
            <w:tcW w:w="5788" w:type="dxa"/>
          </w:tcPr>
          <w:p w14:paraId="0B4DDF6C" w14:textId="0DDB8231"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1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580F6CB" w14:textId="77777777" w:rsidR="00DD4AA9" w:rsidRPr="00436535" w:rsidRDefault="00DD4AA9" w:rsidP="004D40F9">
            <w:pPr>
              <w:pStyle w:val="ListParagraph"/>
              <w:ind w:left="0"/>
              <w:rPr>
                <w:rFonts w:cstheme="minorHAnsi"/>
                <w:sz w:val="20"/>
                <w:szCs w:val="20"/>
              </w:rPr>
            </w:pPr>
          </w:p>
        </w:tc>
      </w:tr>
      <w:tr w:rsidR="00DD4AA9" w:rsidRPr="006E751A" w14:paraId="426292E0" w14:textId="77777777" w:rsidTr="00604541">
        <w:tc>
          <w:tcPr>
            <w:tcW w:w="977" w:type="dxa"/>
          </w:tcPr>
          <w:p w14:paraId="3E9B6B17" w14:textId="391E3E89" w:rsidR="00DD4AA9" w:rsidRDefault="00DD4AA9" w:rsidP="00DD4AA9">
            <w:pPr>
              <w:tabs>
                <w:tab w:val="center" w:pos="6480"/>
              </w:tabs>
              <w:autoSpaceDE w:val="0"/>
              <w:autoSpaceDN w:val="0"/>
              <w:adjustRightInd w:val="0"/>
              <w:rPr>
                <w:rFonts w:cs="SAS Monospace"/>
                <w:sz w:val="20"/>
                <w:szCs w:val="20"/>
              </w:rPr>
            </w:pPr>
            <w:r>
              <w:rPr>
                <w:rFonts w:cs="SAS Monospace"/>
                <w:sz w:val="20"/>
                <w:szCs w:val="20"/>
              </w:rPr>
              <w:t>246</w:t>
            </w:r>
          </w:p>
        </w:tc>
        <w:tc>
          <w:tcPr>
            <w:tcW w:w="1903" w:type="dxa"/>
          </w:tcPr>
          <w:p w14:paraId="6B6836CE" w14:textId="2290B628" w:rsidR="00DD4AA9" w:rsidRDefault="00DD4AA9" w:rsidP="00DD4AA9">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1SOC</w:t>
            </w:r>
          </w:p>
        </w:tc>
        <w:tc>
          <w:tcPr>
            <w:tcW w:w="5788" w:type="dxa"/>
          </w:tcPr>
          <w:p w14:paraId="180B7ACB" w14:textId="7FC9FA26"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B727E43" w14:textId="77777777" w:rsidR="00DD4AA9" w:rsidRPr="00436535" w:rsidRDefault="00DD4AA9" w:rsidP="004D40F9">
            <w:pPr>
              <w:pStyle w:val="ListParagraph"/>
              <w:ind w:left="0"/>
              <w:rPr>
                <w:rFonts w:cstheme="minorHAnsi"/>
                <w:sz w:val="20"/>
                <w:szCs w:val="20"/>
              </w:rPr>
            </w:pPr>
          </w:p>
        </w:tc>
      </w:tr>
      <w:tr w:rsidR="00DD4AA9" w:rsidRPr="006E751A" w14:paraId="2424B187" w14:textId="77777777" w:rsidTr="00604541">
        <w:tc>
          <w:tcPr>
            <w:tcW w:w="977" w:type="dxa"/>
          </w:tcPr>
          <w:p w14:paraId="10D1703C" w14:textId="5851D21A" w:rsidR="00DD4AA9" w:rsidRDefault="00DD4AA9" w:rsidP="00DD4AA9">
            <w:pPr>
              <w:tabs>
                <w:tab w:val="center" w:pos="6480"/>
              </w:tabs>
              <w:autoSpaceDE w:val="0"/>
              <w:autoSpaceDN w:val="0"/>
              <w:adjustRightInd w:val="0"/>
              <w:rPr>
                <w:rFonts w:cs="SAS Monospace"/>
                <w:sz w:val="20"/>
                <w:szCs w:val="20"/>
              </w:rPr>
            </w:pPr>
            <w:r>
              <w:rPr>
                <w:rFonts w:cs="SAS Monospace"/>
                <w:sz w:val="20"/>
                <w:szCs w:val="20"/>
              </w:rPr>
              <w:t>247</w:t>
            </w:r>
          </w:p>
        </w:tc>
        <w:tc>
          <w:tcPr>
            <w:tcW w:w="1903" w:type="dxa"/>
          </w:tcPr>
          <w:p w14:paraId="4DCB5549" w14:textId="596A15F3" w:rsidR="00DD4AA9" w:rsidRPr="00436535" w:rsidRDefault="00DD4AA9" w:rsidP="00DD4AA9">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1REL</w:t>
            </w:r>
          </w:p>
        </w:tc>
        <w:tc>
          <w:tcPr>
            <w:tcW w:w="5788" w:type="dxa"/>
          </w:tcPr>
          <w:p w14:paraId="0C93A0CC" w14:textId="00C8944F"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68C6C55" w14:textId="77777777" w:rsidR="00DD4AA9" w:rsidRPr="00436535" w:rsidRDefault="00DD4AA9" w:rsidP="004D40F9">
            <w:pPr>
              <w:pStyle w:val="ListParagraph"/>
              <w:ind w:left="0"/>
              <w:rPr>
                <w:rFonts w:cstheme="minorHAnsi"/>
                <w:sz w:val="20"/>
                <w:szCs w:val="20"/>
              </w:rPr>
            </w:pPr>
          </w:p>
        </w:tc>
      </w:tr>
      <w:tr w:rsidR="00DD4AA9" w:rsidRPr="006E751A" w14:paraId="4BBCD4C2" w14:textId="77777777" w:rsidTr="00604541">
        <w:tc>
          <w:tcPr>
            <w:tcW w:w="977" w:type="dxa"/>
          </w:tcPr>
          <w:p w14:paraId="0A7B4B99" w14:textId="55F62276" w:rsidR="00DD4AA9" w:rsidRDefault="00DD4AA9" w:rsidP="00DD4AA9">
            <w:pPr>
              <w:tabs>
                <w:tab w:val="center" w:pos="6480"/>
              </w:tabs>
              <w:autoSpaceDE w:val="0"/>
              <w:autoSpaceDN w:val="0"/>
              <w:adjustRightInd w:val="0"/>
              <w:rPr>
                <w:rFonts w:cs="SAS Monospace"/>
                <w:sz w:val="20"/>
                <w:szCs w:val="20"/>
              </w:rPr>
            </w:pPr>
            <w:r>
              <w:rPr>
                <w:rFonts w:cs="SAS Monospace"/>
                <w:sz w:val="20"/>
                <w:szCs w:val="20"/>
              </w:rPr>
              <w:t>248</w:t>
            </w:r>
          </w:p>
        </w:tc>
        <w:tc>
          <w:tcPr>
            <w:tcW w:w="1903" w:type="dxa"/>
          </w:tcPr>
          <w:p w14:paraId="370FF21E" w14:textId="29EE5D2A"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A_K1CULTURE</w:t>
            </w:r>
          </w:p>
        </w:tc>
        <w:tc>
          <w:tcPr>
            <w:tcW w:w="5788" w:type="dxa"/>
          </w:tcPr>
          <w:p w14:paraId="79C831F3" w14:textId="7556CF37"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Cumulative average of 1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0313B4E" w14:textId="77777777" w:rsidR="00DD4AA9" w:rsidRPr="00436535" w:rsidRDefault="00DD4AA9" w:rsidP="004D40F9">
            <w:pPr>
              <w:pStyle w:val="ListParagraph"/>
              <w:ind w:left="0"/>
              <w:rPr>
                <w:rFonts w:cstheme="minorHAnsi"/>
                <w:sz w:val="20"/>
                <w:szCs w:val="20"/>
              </w:rPr>
            </w:pPr>
          </w:p>
        </w:tc>
      </w:tr>
      <w:tr w:rsidR="00DD4AA9" w:rsidRPr="006E751A" w14:paraId="4307A9DD" w14:textId="77777777" w:rsidTr="00604541">
        <w:tc>
          <w:tcPr>
            <w:tcW w:w="977" w:type="dxa"/>
          </w:tcPr>
          <w:p w14:paraId="556A2FFB" w14:textId="5E94DBBD" w:rsidR="00DD4AA9" w:rsidRDefault="00DD4AA9" w:rsidP="00DD4AA9">
            <w:pPr>
              <w:tabs>
                <w:tab w:val="center" w:pos="6480"/>
              </w:tabs>
              <w:autoSpaceDE w:val="0"/>
              <w:autoSpaceDN w:val="0"/>
              <w:adjustRightInd w:val="0"/>
              <w:rPr>
                <w:rFonts w:cs="SAS Monospace"/>
                <w:sz w:val="20"/>
                <w:szCs w:val="20"/>
              </w:rPr>
            </w:pPr>
            <w:r>
              <w:rPr>
                <w:rFonts w:cs="SAS Monospace"/>
                <w:sz w:val="20"/>
                <w:szCs w:val="20"/>
              </w:rPr>
              <w:t>249</w:t>
            </w:r>
          </w:p>
        </w:tc>
        <w:tc>
          <w:tcPr>
            <w:tcW w:w="1903" w:type="dxa"/>
          </w:tcPr>
          <w:p w14:paraId="65BF8899" w14:textId="3878CC28"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1SOC</w:t>
            </w:r>
          </w:p>
        </w:tc>
        <w:tc>
          <w:tcPr>
            <w:tcW w:w="5788" w:type="dxa"/>
          </w:tcPr>
          <w:p w14:paraId="7FE83C4E" w14:textId="4142F219" w:rsidR="00DD4AA9" w:rsidRDefault="00DD4AA9" w:rsidP="00DD4AA9">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B5E7DAA" w14:textId="77777777" w:rsidR="00DD4AA9" w:rsidRPr="00436535" w:rsidRDefault="00DD4AA9" w:rsidP="004D40F9">
            <w:pPr>
              <w:pStyle w:val="ListParagraph"/>
              <w:ind w:left="0"/>
              <w:rPr>
                <w:rFonts w:cstheme="minorHAnsi"/>
                <w:sz w:val="20"/>
                <w:szCs w:val="20"/>
              </w:rPr>
            </w:pPr>
          </w:p>
        </w:tc>
      </w:tr>
      <w:tr w:rsidR="0088325C" w:rsidRPr="006E751A" w14:paraId="3FABE006" w14:textId="77777777" w:rsidTr="00604541">
        <w:tc>
          <w:tcPr>
            <w:tcW w:w="977" w:type="dxa"/>
          </w:tcPr>
          <w:p w14:paraId="05298ABA" w14:textId="52C40A3C" w:rsidR="0088325C" w:rsidRDefault="0088325C" w:rsidP="00DD4AA9">
            <w:pPr>
              <w:tabs>
                <w:tab w:val="center" w:pos="6480"/>
              </w:tabs>
              <w:autoSpaceDE w:val="0"/>
              <w:autoSpaceDN w:val="0"/>
              <w:adjustRightInd w:val="0"/>
              <w:rPr>
                <w:rFonts w:cs="SAS Monospace"/>
                <w:sz w:val="20"/>
                <w:szCs w:val="20"/>
              </w:rPr>
            </w:pPr>
            <w:r>
              <w:rPr>
                <w:rFonts w:cs="SAS Monospace"/>
                <w:sz w:val="20"/>
                <w:szCs w:val="20"/>
              </w:rPr>
              <w:t>250</w:t>
            </w:r>
          </w:p>
        </w:tc>
        <w:tc>
          <w:tcPr>
            <w:tcW w:w="1903" w:type="dxa"/>
          </w:tcPr>
          <w:p w14:paraId="25BBC502" w14:textId="5BB6E61F" w:rsidR="0088325C" w:rsidRDefault="0088325C" w:rsidP="0088325C">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3REL</w:t>
            </w:r>
          </w:p>
        </w:tc>
        <w:tc>
          <w:tcPr>
            <w:tcW w:w="5788" w:type="dxa"/>
          </w:tcPr>
          <w:p w14:paraId="2F81A37C" w14:textId="2E74C732" w:rsidR="0088325C" w:rsidRDefault="0088325C" w:rsidP="00DD4AA9">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B69AA02" w14:textId="77777777" w:rsidR="0088325C" w:rsidRPr="00436535" w:rsidRDefault="0088325C" w:rsidP="004D40F9">
            <w:pPr>
              <w:pStyle w:val="ListParagraph"/>
              <w:ind w:left="0"/>
              <w:rPr>
                <w:rFonts w:cstheme="minorHAnsi"/>
                <w:sz w:val="20"/>
                <w:szCs w:val="20"/>
              </w:rPr>
            </w:pPr>
          </w:p>
        </w:tc>
      </w:tr>
      <w:tr w:rsidR="0088325C" w:rsidRPr="006E751A" w14:paraId="1D988F7F" w14:textId="77777777" w:rsidTr="00604541">
        <w:tc>
          <w:tcPr>
            <w:tcW w:w="977" w:type="dxa"/>
          </w:tcPr>
          <w:p w14:paraId="114BC916" w14:textId="4F824BB7" w:rsidR="0088325C" w:rsidRDefault="0088325C" w:rsidP="0088325C">
            <w:pPr>
              <w:tabs>
                <w:tab w:val="center" w:pos="6480"/>
              </w:tabs>
              <w:autoSpaceDE w:val="0"/>
              <w:autoSpaceDN w:val="0"/>
              <w:adjustRightInd w:val="0"/>
              <w:rPr>
                <w:rFonts w:cs="SAS Monospace"/>
                <w:sz w:val="20"/>
                <w:szCs w:val="20"/>
              </w:rPr>
            </w:pPr>
            <w:r>
              <w:rPr>
                <w:rFonts w:cs="SAS Monospace"/>
                <w:sz w:val="20"/>
                <w:szCs w:val="20"/>
              </w:rPr>
              <w:t>251</w:t>
            </w:r>
          </w:p>
        </w:tc>
        <w:tc>
          <w:tcPr>
            <w:tcW w:w="1903" w:type="dxa"/>
          </w:tcPr>
          <w:p w14:paraId="236DFDA7" w14:textId="097F2D4C" w:rsidR="0088325C" w:rsidRPr="00436535" w:rsidRDefault="0088325C" w:rsidP="0088325C">
            <w:pPr>
              <w:tabs>
                <w:tab w:val="center" w:pos="6480"/>
              </w:tabs>
              <w:autoSpaceDE w:val="0"/>
              <w:autoSpaceDN w:val="0"/>
              <w:adjustRightInd w:val="0"/>
              <w:rPr>
                <w:rFonts w:cstheme="minorHAnsi"/>
                <w:sz w:val="20"/>
                <w:szCs w:val="20"/>
              </w:rPr>
            </w:pPr>
            <w:r>
              <w:rPr>
                <w:rFonts w:cstheme="minorHAnsi"/>
                <w:sz w:val="20"/>
                <w:szCs w:val="20"/>
              </w:rPr>
              <w:t>K3CULTURE</w:t>
            </w:r>
          </w:p>
        </w:tc>
        <w:tc>
          <w:tcPr>
            <w:tcW w:w="5788" w:type="dxa"/>
          </w:tcPr>
          <w:p w14:paraId="4DA8AD09" w14:textId="72E06711" w:rsidR="0088325C" w:rsidRDefault="0088325C" w:rsidP="00DD4AA9">
            <w:pPr>
              <w:tabs>
                <w:tab w:val="center" w:pos="6480"/>
              </w:tabs>
              <w:autoSpaceDE w:val="0"/>
              <w:autoSpaceDN w:val="0"/>
              <w:adjustRightInd w:val="0"/>
              <w:rPr>
                <w:rFonts w:cstheme="minorHAnsi"/>
                <w:sz w:val="20"/>
                <w:szCs w:val="20"/>
              </w:rPr>
            </w:pPr>
            <w:r>
              <w:rPr>
                <w:rFonts w:cstheme="minorHAnsi"/>
                <w:sz w:val="20"/>
                <w:szCs w:val="20"/>
              </w:rPr>
              <w:t>3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B03030A" w14:textId="77777777" w:rsidR="0088325C" w:rsidRPr="00436535" w:rsidRDefault="0088325C" w:rsidP="004D40F9">
            <w:pPr>
              <w:pStyle w:val="ListParagraph"/>
              <w:ind w:left="0"/>
              <w:rPr>
                <w:rFonts w:cstheme="minorHAnsi"/>
                <w:sz w:val="20"/>
                <w:szCs w:val="20"/>
              </w:rPr>
            </w:pPr>
          </w:p>
        </w:tc>
      </w:tr>
      <w:tr w:rsidR="0088325C" w:rsidRPr="006E751A" w14:paraId="2D344807" w14:textId="77777777" w:rsidTr="00604541">
        <w:tc>
          <w:tcPr>
            <w:tcW w:w="977" w:type="dxa"/>
          </w:tcPr>
          <w:p w14:paraId="35863A0B" w14:textId="7FBE49EA" w:rsidR="0088325C" w:rsidRDefault="0088325C" w:rsidP="0088325C">
            <w:pPr>
              <w:tabs>
                <w:tab w:val="center" w:pos="6480"/>
              </w:tabs>
              <w:autoSpaceDE w:val="0"/>
              <w:autoSpaceDN w:val="0"/>
              <w:adjustRightInd w:val="0"/>
              <w:rPr>
                <w:rFonts w:cs="SAS Monospace"/>
                <w:sz w:val="20"/>
                <w:szCs w:val="20"/>
              </w:rPr>
            </w:pPr>
            <w:r>
              <w:rPr>
                <w:rFonts w:cs="SAS Monospace"/>
                <w:sz w:val="20"/>
                <w:szCs w:val="20"/>
              </w:rPr>
              <w:t>252</w:t>
            </w:r>
          </w:p>
        </w:tc>
        <w:tc>
          <w:tcPr>
            <w:tcW w:w="1903" w:type="dxa"/>
          </w:tcPr>
          <w:p w14:paraId="796D7B5A" w14:textId="5D68E6D8" w:rsidR="0088325C" w:rsidRDefault="0088325C" w:rsidP="0088325C">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3SOC</w:t>
            </w:r>
          </w:p>
        </w:tc>
        <w:tc>
          <w:tcPr>
            <w:tcW w:w="5788" w:type="dxa"/>
          </w:tcPr>
          <w:p w14:paraId="78223735" w14:textId="1842055C" w:rsidR="0088325C" w:rsidRDefault="0088325C" w:rsidP="00DD4AA9">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3ACF4B3" w14:textId="77777777" w:rsidR="0088325C" w:rsidRPr="00436535" w:rsidRDefault="0088325C" w:rsidP="004D40F9">
            <w:pPr>
              <w:pStyle w:val="ListParagraph"/>
              <w:ind w:left="0"/>
              <w:rPr>
                <w:rFonts w:cstheme="minorHAnsi"/>
                <w:sz w:val="20"/>
                <w:szCs w:val="20"/>
              </w:rPr>
            </w:pPr>
          </w:p>
        </w:tc>
      </w:tr>
      <w:tr w:rsidR="0088325C" w:rsidRPr="006E751A" w14:paraId="557D297F" w14:textId="77777777" w:rsidTr="00604541">
        <w:tc>
          <w:tcPr>
            <w:tcW w:w="977" w:type="dxa"/>
          </w:tcPr>
          <w:p w14:paraId="448903E6" w14:textId="17C89DAF" w:rsidR="0088325C" w:rsidRDefault="0088325C" w:rsidP="0088325C">
            <w:pPr>
              <w:tabs>
                <w:tab w:val="center" w:pos="6480"/>
              </w:tabs>
              <w:autoSpaceDE w:val="0"/>
              <w:autoSpaceDN w:val="0"/>
              <w:adjustRightInd w:val="0"/>
              <w:rPr>
                <w:rFonts w:cs="SAS Monospace"/>
                <w:sz w:val="20"/>
                <w:szCs w:val="20"/>
              </w:rPr>
            </w:pPr>
            <w:r>
              <w:rPr>
                <w:rFonts w:cs="SAS Monospace"/>
                <w:sz w:val="20"/>
                <w:szCs w:val="20"/>
              </w:rPr>
              <w:t>253</w:t>
            </w:r>
          </w:p>
        </w:tc>
        <w:tc>
          <w:tcPr>
            <w:tcW w:w="1903" w:type="dxa"/>
          </w:tcPr>
          <w:p w14:paraId="576760FA" w14:textId="2EC3D4BE" w:rsidR="0088325C" w:rsidRPr="00436535" w:rsidRDefault="0088325C" w:rsidP="0088325C">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3REL</w:t>
            </w:r>
          </w:p>
        </w:tc>
        <w:tc>
          <w:tcPr>
            <w:tcW w:w="5788" w:type="dxa"/>
          </w:tcPr>
          <w:p w14:paraId="3400292B" w14:textId="1306C96F" w:rsidR="0088325C" w:rsidRDefault="0088325C" w:rsidP="0088325C">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05382201" w14:textId="77777777" w:rsidR="0088325C" w:rsidRPr="00436535" w:rsidRDefault="0088325C" w:rsidP="004D40F9">
            <w:pPr>
              <w:pStyle w:val="ListParagraph"/>
              <w:ind w:left="0"/>
              <w:rPr>
                <w:rFonts w:cstheme="minorHAnsi"/>
                <w:sz w:val="20"/>
                <w:szCs w:val="20"/>
              </w:rPr>
            </w:pPr>
          </w:p>
        </w:tc>
      </w:tr>
      <w:tr w:rsidR="0088325C" w:rsidRPr="006E751A" w14:paraId="441FF98E" w14:textId="77777777" w:rsidTr="00604541">
        <w:tc>
          <w:tcPr>
            <w:tcW w:w="977" w:type="dxa"/>
          </w:tcPr>
          <w:p w14:paraId="4230E68A" w14:textId="066A6392" w:rsidR="0088325C" w:rsidRDefault="0088325C" w:rsidP="0088325C">
            <w:pPr>
              <w:tabs>
                <w:tab w:val="center" w:pos="6480"/>
              </w:tabs>
              <w:autoSpaceDE w:val="0"/>
              <w:autoSpaceDN w:val="0"/>
              <w:adjustRightInd w:val="0"/>
              <w:rPr>
                <w:rFonts w:cs="SAS Monospace"/>
                <w:sz w:val="20"/>
                <w:szCs w:val="20"/>
              </w:rPr>
            </w:pPr>
            <w:r>
              <w:rPr>
                <w:rFonts w:cs="SAS Monospace"/>
                <w:sz w:val="20"/>
                <w:szCs w:val="20"/>
              </w:rPr>
              <w:t>254</w:t>
            </w:r>
          </w:p>
        </w:tc>
        <w:tc>
          <w:tcPr>
            <w:tcW w:w="1903" w:type="dxa"/>
          </w:tcPr>
          <w:p w14:paraId="6909130C" w14:textId="0208D155" w:rsidR="0088325C" w:rsidRDefault="0088325C" w:rsidP="0088325C">
            <w:pPr>
              <w:tabs>
                <w:tab w:val="center" w:pos="6480"/>
              </w:tabs>
              <w:autoSpaceDE w:val="0"/>
              <w:autoSpaceDN w:val="0"/>
              <w:adjustRightInd w:val="0"/>
              <w:rPr>
                <w:rFonts w:cstheme="minorHAnsi"/>
                <w:sz w:val="20"/>
                <w:szCs w:val="20"/>
              </w:rPr>
            </w:pPr>
            <w:r>
              <w:rPr>
                <w:rFonts w:cstheme="minorHAnsi"/>
                <w:sz w:val="20"/>
                <w:szCs w:val="20"/>
              </w:rPr>
              <w:t>A_K3CULTURE</w:t>
            </w:r>
          </w:p>
        </w:tc>
        <w:tc>
          <w:tcPr>
            <w:tcW w:w="5788" w:type="dxa"/>
          </w:tcPr>
          <w:p w14:paraId="1C2CA82D" w14:textId="439324D9" w:rsidR="0088325C" w:rsidRDefault="0088325C" w:rsidP="0088325C">
            <w:pPr>
              <w:tabs>
                <w:tab w:val="center" w:pos="6480"/>
              </w:tabs>
              <w:autoSpaceDE w:val="0"/>
              <w:autoSpaceDN w:val="0"/>
              <w:adjustRightInd w:val="0"/>
              <w:rPr>
                <w:rFonts w:cstheme="minorHAnsi"/>
                <w:sz w:val="20"/>
                <w:szCs w:val="20"/>
              </w:rPr>
            </w:pPr>
            <w:r>
              <w:rPr>
                <w:rFonts w:cstheme="minorHAnsi"/>
                <w:sz w:val="20"/>
                <w:szCs w:val="20"/>
              </w:rPr>
              <w:t>Cumulative average of 3 mile kernel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facilities per </w:t>
            </w:r>
            <w:r w:rsidRPr="00436535">
              <w:rPr>
                <w:rFonts w:cstheme="minorHAnsi"/>
                <w:sz w:val="20"/>
                <w:szCs w:val="20"/>
              </w:rPr>
              <w:lastRenderedPageBreak/>
              <w:t>square mile.</w:t>
            </w:r>
          </w:p>
        </w:tc>
        <w:tc>
          <w:tcPr>
            <w:tcW w:w="1952" w:type="dxa"/>
          </w:tcPr>
          <w:p w14:paraId="783C80A4" w14:textId="77777777" w:rsidR="0088325C" w:rsidRPr="00436535" w:rsidRDefault="0088325C" w:rsidP="004D40F9">
            <w:pPr>
              <w:pStyle w:val="ListParagraph"/>
              <w:ind w:left="0"/>
              <w:rPr>
                <w:rFonts w:cstheme="minorHAnsi"/>
                <w:sz w:val="20"/>
                <w:szCs w:val="20"/>
              </w:rPr>
            </w:pPr>
          </w:p>
        </w:tc>
      </w:tr>
      <w:tr w:rsidR="0088325C" w:rsidRPr="006E751A" w14:paraId="32C1B2E6" w14:textId="77777777" w:rsidTr="00604541">
        <w:tc>
          <w:tcPr>
            <w:tcW w:w="977" w:type="dxa"/>
          </w:tcPr>
          <w:p w14:paraId="6B7D74E3" w14:textId="3A7A8D04" w:rsidR="0088325C" w:rsidRDefault="0088325C" w:rsidP="0088325C">
            <w:pPr>
              <w:tabs>
                <w:tab w:val="center" w:pos="6480"/>
              </w:tabs>
              <w:autoSpaceDE w:val="0"/>
              <w:autoSpaceDN w:val="0"/>
              <w:adjustRightInd w:val="0"/>
              <w:rPr>
                <w:rFonts w:cs="SAS Monospace"/>
                <w:sz w:val="20"/>
                <w:szCs w:val="20"/>
              </w:rPr>
            </w:pPr>
            <w:r>
              <w:rPr>
                <w:rFonts w:cs="SAS Monospace"/>
                <w:sz w:val="20"/>
                <w:szCs w:val="20"/>
              </w:rPr>
              <w:lastRenderedPageBreak/>
              <w:t>255</w:t>
            </w:r>
          </w:p>
        </w:tc>
        <w:tc>
          <w:tcPr>
            <w:tcW w:w="1903" w:type="dxa"/>
          </w:tcPr>
          <w:p w14:paraId="46FA14BC" w14:textId="405A0074" w:rsidR="0088325C" w:rsidRDefault="0088325C" w:rsidP="0088325C">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3SOC</w:t>
            </w:r>
          </w:p>
        </w:tc>
        <w:tc>
          <w:tcPr>
            <w:tcW w:w="5788" w:type="dxa"/>
          </w:tcPr>
          <w:p w14:paraId="02FA5C46" w14:textId="737E04A5" w:rsidR="0088325C" w:rsidRDefault="0088325C" w:rsidP="0088325C">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59B29317" w14:textId="77777777" w:rsidR="0088325C" w:rsidRPr="00436535" w:rsidRDefault="0088325C" w:rsidP="004D40F9">
            <w:pPr>
              <w:pStyle w:val="ListParagraph"/>
              <w:ind w:left="0"/>
              <w:rPr>
                <w:rFonts w:cstheme="minorHAnsi"/>
                <w:sz w:val="20"/>
                <w:szCs w:val="20"/>
              </w:rPr>
            </w:pPr>
          </w:p>
        </w:tc>
      </w:tr>
      <w:tr w:rsidR="00246781" w:rsidRPr="006E751A" w14:paraId="5FD740CA" w14:textId="77777777" w:rsidTr="00604541">
        <w:tc>
          <w:tcPr>
            <w:tcW w:w="977" w:type="dxa"/>
          </w:tcPr>
          <w:p w14:paraId="12E29938" w14:textId="5163D044" w:rsidR="00246781" w:rsidRDefault="00246781" w:rsidP="0088325C">
            <w:pPr>
              <w:tabs>
                <w:tab w:val="center" w:pos="6480"/>
              </w:tabs>
              <w:autoSpaceDE w:val="0"/>
              <w:autoSpaceDN w:val="0"/>
              <w:adjustRightInd w:val="0"/>
              <w:rPr>
                <w:rFonts w:cs="SAS Monospace"/>
                <w:sz w:val="20"/>
                <w:szCs w:val="20"/>
              </w:rPr>
            </w:pPr>
            <w:r>
              <w:rPr>
                <w:rFonts w:cs="SAS Monospace"/>
                <w:sz w:val="20"/>
                <w:szCs w:val="20"/>
              </w:rPr>
              <w:t>256</w:t>
            </w:r>
          </w:p>
        </w:tc>
        <w:tc>
          <w:tcPr>
            <w:tcW w:w="1903" w:type="dxa"/>
          </w:tcPr>
          <w:p w14:paraId="1A1CB49D" w14:textId="25F057E9" w:rsidR="00246781" w:rsidRDefault="00246781" w:rsidP="0088325C">
            <w:pPr>
              <w:tabs>
                <w:tab w:val="center" w:pos="6480"/>
              </w:tabs>
              <w:autoSpaceDE w:val="0"/>
              <w:autoSpaceDN w:val="0"/>
              <w:adjustRightInd w:val="0"/>
              <w:rPr>
                <w:rFonts w:cstheme="minorHAnsi"/>
                <w:sz w:val="20"/>
                <w:szCs w:val="20"/>
              </w:rPr>
            </w:pPr>
            <w:r>
              <w:rPr>
                <w:rFonts w:cstheme="minorHAnsi"/>
                <w:sz w:val="20"/>
                <w:szCs w:val="20"/>
              </w:rPr>
              <w:t>S0REL</w:t>
            </w:r>
          </w:p>
        </w:tc>
        <w:tc>
          <w:tcPr>
            <w:tcW w:w="5788" w:type="dxa"/>
          </w:tcPr>
          <w:p w14:paraId="5A49B882" w14:textId="5C9FC471"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9384C62" w14:textId="77777777" w:rsidR="00246781" w:rsidRPr="00436535" w:rsidRDefault="00246781" w:rsidP="004D40F9">
            <w:pPr>
              <w:pStyle w:val="ListParagraph"/>
              <w:ind w:left="0"/>
              <w:rPr>
                <w:rFonts w:cstheme="minorHAnsi"/>
                <w:sz w:val="20"/>
                <w:szCs w:val="20"/>
              </w:rPr>
            </w:pPr>
          </w:p>
        </w:tc>
      </w:tr>
      <w:tr w:rsidR="00246781" w:rsidRPr="006E751A" w14:paraId="5F141875" w14:textId="77777777" w:rsidTr="00604541">
        <w:tc>
          <w:tcPr>
            <w:tcW w:w="977" w:type="dxa"/>
          </w:tcPr>
          <w:p w14:paraId="544E3B8C" w14:textId="72DFEF54" w:rsidR="00246781" w:rsidRDefault="00246781" w:rsidP="00246781">
            <w:pPr>
              <w:tabs>
                <w:tab w:val="center" w:pos="6480"/>
              </w:tabs>
              <w:autoSpaceDE w:val="0"/>
              <w:autoSpaceDN w:val="0"/>
              <w:adjustRightInd w:val="0"/>
              <w:rPr>
                <w:rFonts w:cs="SAS Monospace"/>
                <w:sz w:val="20"/>
                <w:szCs w:val="20"/>
              </w:rPr>
            </w:pPr>
            <w:r>
              <w:rPr>
                <w:rFonts w:cs="SAS Monospace"/>
                <w:sz w:val="20"/>
                <w:szCs w:val="20"/>
              </w:rPr>
              <w:t>257</w:t>
            </w:r>
          </w:p>
        </w:tc>
        <w:tc>
          <w:tcPr>
            <w:tcW w:w="1903" w:type="dxa"/>
          </w:tcPr>
          <w:p w14:paraId="584F5648" w14:textId="164E05F9" w:rsidR="00246781" w:rsidRPr="00436535" w:rsidRDefault="00246781" w:rsidP="0088325C">
            <w:pPr>
              <w:tabs>
                <w:tab w:val="center" w:pos="6480"/>
              </w:tabs>
              <w:autoSpaceDE w:val="0"/>
              <w:autoSpaceDN w:val="0"/>
              <w:adjustRightInd w:val="0"/>
              <w:rPr>
                <w:rFonts w:cstheme="minorHAnsi"/>
                <w:sz w:val="20"/>
                <w:szCs w:val="20"/>
              </w:rPr>
            </w:pPr>
            <w:r>
              <w:rPr>
                <w:rFonts w:cstheme="minorHAnsi"/>
                <w:sz w:val="20"/>
                <w:szCs w:val="20"/>
              </w:rPr>
              <w:t>S0CULTURE</w:t>
            </w:r>
          </w:p>
        </w:tc>
        <w:tc>
          <w:tcPr>
            <w:tcW w:w="5788" w:type="dxa"/>
          </w:tcPr>
          <w:p w14:paraId="76ADDBA0" w14:textId="12CDC3BE"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1/2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6CF704E" w14:textId="77777777" w:rsidR="00246781" w:rsidRPr="00436535" w:rsidRDefault="00246781" w:rsidP="004D40F9">
            <w:pPr>
              <w:pStyle w:val="ListParagraph"/>
              <w:ind w:left="0"/>
              <w:rPr>
                <w:rFonts w:cstheme="minorHAnsi"/>
                <w:sz w:val="20"/>
                <w:szCs w:val="20"/>
              </w:rPr>
            </w:pPr>
          </w:p>
        </w:tc>
      </w:tr>
      <w:tr w:rsidR="00246781" w:rsidRPr="006E751A" w14:paraId="704E1DE8" w14:textId="77777777" w:rsidTr="00604541">
        <w:tc>
          <w:tcPr>
            <w:tcW w:w="977" w:type="dxa"/>
          </w:tcPr>
          <w:p w14:paraId="24354193" w14:textId="66A28CCB" w:rsidR="00246781" w:rsidRDefault="00246781" w:rsidP="00246781">
            <w:pPr>
              <w:tabs>
                <w:tab w:val="center" w:pos="6480"/>
              </w:tabs>
              <w:autoSpaceDE w:val="0"/>
              <w:autoSpaceDN w:val="0"/>
              <w:adjustRightInd w:val="0"/>
              <w:rPr>
                <w:rFonts w:cs="SAS Monospace"/>
                <w:sz w:val="20"/>
                <w:szCs w:val="20"/>
              </w:rPr>
            </w:pPr>
            <w:r>
              <w:rPr>
                <w:rFonts w:cs="SAS Monospace"/>
                <w:sz w:val="20"/>
                <w:szCs w:val="20"/>
              </w:rPr>
              <w:t>258</w:t>
            </w:r>
          </w:p>
        </w:tc>
        <w:tc>
          <w:tcPr>
            <w:tcW w:w="1903" w:type="dxa"/>
          </w:tcPr>
          <w:p w14:paraId="2A21709B" w14:textId="49632429" w:rsidR="00246781" w:rsidRDefault="00246781" w:rsidP="0088325C">
            <w:pPr>
              <w:tabs>
                <w:tab w:val="center" w:pos="6480"/>
              </w:tabs>
              <w:autoSpaceDE w:val="0"/>
              <w:autoSpaceDN w:val="0"/>
              <w:adjustRightInd w:val="0"/>
              <w:rPr>
                <w:rFonts w:cstheme="minorHAnsi"/>
                <w:sz w:val="20"/>
                <w:szCs w:val="20"/>
              </w:rPr>
            </w:pPr>
            <w:r>
              <w:rPr>
                <w:rFonts w:cstheme="minorHAnsi"/>
                <w:sz w:val="20"/>
                <w:szCs w:val="20"/>
              </w:rPr>
              <w:t>S0SOC</w:t>
            </w:r>
          </w:p>
        </w:tc>
        <w:tc>
          <w:tcPr>
            <w:tcW w:w="5788" w:type="dxa"/>
          </w:tcPr>
          <w:p w14:paraId="5FE9B9BB" w14:textId="678B759C"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4872974" w14:textId="77777777" w:rsidR="00246781" w:rsidRPr="00436535" w:rsidRDefault="00246781" w:rsidP="004D40F9">
            <w:pPr>
              <w:pStyle w:val="ListParagraph"/>
              <w:ind w:left="0"/>
              <w:rPr>
                <w:rFonts w:cstheme="minorHAnsi"/>
                <w:sz w:val="20"/>
                <w:szCs w:val="20"/>
              </w:rPr>
            </w:pPr>
          </w:p>
        </w:tc>
      </w:tr>
      <w:tr w:rsidR="00246781" w:rsidRPr="006E751A" w14:paraId="0C41C285" w14:textId="77777777" w:rsidTr="00604541">
        <w:tc>
          <w:tcPr>
            <w:tcW w:w="977" w:type="dxa"/>
          </w:tcPr>
          <w:p w14:paraId="33DE7FA1" w14:textId="71FB3ED1" w:rsidR="00246781" w:rsidRDefault="00246781" w:rsidP="00246781">
            <w:pPr>
              <w:tabs>
                <w:tab w:val="center" w:pos="6480"/>
              </w:tabs>
              <w:autoSpaceDE w:val="0"/>
              <w:autoSpaceDN w:val="0"/>
              <w:adjustRightInd w:val="0"/>
              <w:rPr>
                <w:rFonts w:cs="SAS Monospace"/>
                <w:sz w:val="20"/>
                <w:szCs w:val="20"/>
              </w:rPr>
            </w:pPr>
            <w:r>
              <w:rPr>
                <w:rFonts w:cs="SAS Monospace"/>
                <w:sz w:val="20"/>
                <w:szCs w:val="20"/>
              </w:rPr>
              <w:t>259</w:t>
            </w:r>
          </w:p>
        </w:tc>
        <w:tc>
          <w:tcPr>
            <w:tcW w:w="1903" w:type="dxa"/>
          </w:tcPr>
          <w:p w14:paraId="79D324D1" w14:textId="47E623D3" w:rsidR="00246781" w:rsidRPr="00436535" w:rsidRDefault="00246781" w:rsidP="00246781">
            <w:pPr>
              <w:tabs>
                <w:tab w:val="center" w:pos="6480"/>
              </w:tabs>
              <w:autoSpaceDE w:val="0"/>
              <w:autoSpaceDN w:val="0"/>
              <w:adjustRightInd w:val="0"/>
              <w:rPr>
                <w:rFonts w:cstheme="minorHAnsi"/>
                <w:sz w:val="20"/>
                <w:szCs w:val="20"/>
              </w:rPr>
            </w:pPr>
            <w:r>
              <w:rPr>
                <w:rFonts w:cstheme="minorHAnsi"/>
                <w:sz w:val="20"/>
                <w:szCs w:val="20"/>
              </w:rPr>
              <w:t>A_S0REL</w:t>
            </w:r>
          </w:p>
        </w:tc>
        <w:tc>
          <w:tcPr>
            <w:tcW w:w="5788" w:type="dxa"/>
          </w:tcPr>
          <w:p w14:paraId="34386442" w14:textId="3DA090BC"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726AF4E4" w14:textId="77777777" w:rsidR="00246781" w:rsidRPr="00436535" w:rsidRDefault="00246781" w:rsidP="004D40F9">
            <w:pPr>
              <w:pStyle w:val="ListParagraph"/>
              <w:ind w:left="0"/>
              <w:rPr>
                <w:rFonts w:cstheme="minorHAnsi"/>
                <w:sz w:val="20"/>
                <w:szCs w:val="20"/>
              </w:rPr>
            </w:pPr>
          </w:p>
        </w:tc>
      </w:tr>
      <w:tr w:rsidR="00246781" w:rsidRPr="006E751A" w14:paraId="1F34FABB" w14:textId="77777777" w:rsidTr="00604541">
        <w:tc>
          <w:tcPr>
            <w:tcW w:w="977" w:type="dxa"/>
          </w:tcPr>
          <w:p w14:paraId="25913A1C" w14:textId="52A4D4EB" w:rsidR="00246781" w:rsidRDefault="00246781" w:rsidP="00246781">
            <w:pPr>
              <w:tabs>
                <w:tab w:val="center" w:pos="6480"/>
              </w:tabs>
              <w:autoSpaceDE w:val="0"/>
              <w:autoSpaceDN w:val="0"/>
              <w:adjustRightInd w:val="0"/>
              <w:rPr>
                <w:rFonts w:cs="SAS Monospace"/>
                <w:sz w:val="20"/>
                <w:szCs w:val="20"/>
              </w:rPr>
            </w:pPr>
            <w:r>
              <w:rPr>
                <w:rFonts w:cs="SAS Monospace"/>
                <w:sz w:val="20"/>
                <w:szCs w:val="20"/>
              </w:rPr>
              <w:t>260</w:t>
            </w:r>
          </w:p>
        </w:tc>
        <w:tc>
          <w:tcPr>
            <w:tcW w:w="1903" w:type="dxa"/>
          </w:tcPr>
          <w:p w14:paraId="4F6F1877" w14:textId="495B8BAE"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A_S0CULTURE</w:t>
            </w:r>
          </w:p>
        </w:tc>
        <w:tc>
          <w:tcPr>
            <w:tcW w:w="5788" w:type="dxa"/>
          </w:tcPr>
          <w:p w14:paraId="740A7454" w14:textId="489C6930"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Cumulative average of 1/2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01DB852" w14:textId="77777777" w:rsidR="00246781" w:rsidRPr="00436535" w:rsidRDefault="00246781" w:rsidP="004D40F9">
            <w:pPr>
              <w:pStyle w:val="ListParagraph"/>
              <w:ind w:left="0"/>
              <w:rPr>
                <w:rFonts w:cstheme="minorHAnsi"/>
                <w:sz w:val="20"/>
                <w:szCs w:val="20"/>
              </w:rPr>
            </w:pPr>
          </w:p>
        </w:tc>
      </w:tr>
      <w:tr w:rsidR="00246781" w:rsidRPr="006E751A" w14:paraId="794DBE32" w14:textId="77777777" w:rsidTr="00604541">
        <w:tc>
          <w:tcPr>
            <w:tcW w:w="977" w:type="dxa"/>
          </w:tcPr>
          <w:p w14:paraId="184B171B" w14:textId="337C3021" w:rsidR="00246781" w:rsidRDefault="00246781" w:rsidP="00246781">
            <w:pPr>
              <w:tabs>
                <w:tab w:val="center" w:pos="6480"/>
              </w:tabs>
              <w:autoSpaceDE w:val="0"/>
              <w:autoSpaceDN w:val="0"/>
              <w:adjustRightInd w:val="0"/>
              <w:rPr>
                <w:rFonts w:cs="SAS Monospace"/>
                <w:sz w:val="20"/>
                <w:szCs w:val="20"/>
              </w:rPr>
            </w:pPr>
            <w:r>
              <w:rPr>
                <w:rFonts w:cs="SAS Monospace"/>
                <w:sz w:val="20"/>
                <w:szCs w:val="20"/>
              </w:rPr>
              <w:t>261</w:t>
            </w:r>
          </w:p>
        </w:tc>
        <w:tc>
          <w:tcPr>
            <w:tcW w:w="1903" w:type="dxa"/>
          </w:tcPr>
          <w:p w14:paraId="13C23496" w14:textId="7D670BD6"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A_S0SOC</w:t>
            </w:r>
          </w:p>
        </w:tc>
        <w:tc>
          <w:tcPr>
            <w:tcW w:w="5788" w:type="dxa"/>
          </w:tcPr>
          <w:p w14:paraId="1C6826CD" w14:textId="3DE7E4C7" w:rsidR="00246781" w:rsidRDefault="00246781" w:rsidP="00246781">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2A544D0" w14:textId="77777777" w:rsidR="00246781" w:rsidRPr="00436535" w:rsidRDefault="00246781" w:rsidP="004D40F9">
            <w:pPr>
              <w:pStyle w:val="ListParagraph"/>
              <w:ind w:left="0"/>
              <w:rPr>
                <w:rFonts w:cstheme="minorHAnsi"/>
                <w:sz w:val="20"/>
                <w:szCs w:val="20"/>
              </w:rPr>
            </w:pPr>
          </w:p>
        </w:tc>
      </w:tr>
      <w:tr w:rsidR="00ED39C0" w:rsidRPr="006E751A" w14:paraId="220AE20B" w14:textId="77777777" w:rsidTr="00604541">
        <w:tc>
          <w:tcPr>
            <w:tcW w:w="977" w:type="dxa"/>
          </w:tcPr>
          <w:p w14:paraId="36B84F0E" w14:textId="38EEFCFD" w:rsidR="00ED39C0" w:rsidRDefault="00ED39C0" w:rsidP="00246781">
            <w:pPr>
              <w:tabs>
                <w:tab w:val="center" w:pos="6480"/>
              </w:tabs>
              <w:autoSpaceDE w:val="0"/>
              <w:autoSpaceDN w:val="0"/>
              <w:adjustRightInd w:val="0"/>
              <w:rPr>
                <w:rFonts w:cs="SAS Monospace"/>
                <w:sz w:val="20"/>
                <w:szCs w:val="20"/>
              </w:rPr>
            </w:pPr>
            <w:r>
              <w:rPr>
                <w:rFonts w:cs="SAS Monospace"/>
                <w:sz w:val="20"/>
                <w:szCs w:val="20"/>
              </w:rPr>
              <w:t>262</w:t>
            </w:r>
          </w:p>
        </w:tc>
        <w:tc>
          <w:tcPr>
            <w:tcW w:w="1903" w:type="dxa"/>
          </w:tcPr>
          <w:p w14:paraId="57BDA639" w14:textId="2DBDA49B"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S1REL</w:t>
            </w:r>
          </w:p>
        </w:tc>
        <w:tc>
          <w:tcPr>
            <w:tcW w:w="5788" w:type="dxa"/>
          </w:tcPr>
          <w:p w14:paraId="219EC641" w14:textId="1542E37A"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3287484" w14:textId="77777777" w:rsidR="00ED39C0" w:rsidRPr="00436535" w:rsidRDefault="00ED39C0" w:rsidP="004D40F9">
            <w:pPr>
              <w:pStyle w:val="ListParagraph"/>
              <w:ind w:left="0"/>
              <w:rPr>
                <w:rFonts w:cstheme="minorHAnsi"/>
                <w:sz w:val="20"/>
                <w:szCs w:val="20"/>
              </w:rPr>
            </w:pPr>
          </w:p>
        </w:tc>
      </w:tr>
      <w:tr w:rsidR="00ED39C0" w:rsidRPr="006E751A" w14:paraId="715BAF57" w14:textId="77777777" w:rsidTr="00604541">
        <w:tc>
          <w:tcPr>
            <w:tcW w:w="977" w:type="dxa"/>
          </w:tcPr>
          <w:p w14:paraId="5EEC57FD" w14:textId="103AE24D" w:rsidR="00ED39C0" w:rsidRDefault="00ED39C0" w:rsidP="00ED39C0">
            <w:pPr>
              <w:tabs>
                <w:tab w:val="center" w:pos="6480"/>
              </w:tabs>
              <w:autoSpaceDE w:val="0"/>
              <w:autoSpaceDN w:val="0"/>
              <w:adjustRightInd w:val="0"/>
              <w:rPr>
                <w:rFonts w:cs="SAS Monospace"/>
                <w:sz w:val="20"/>
                <w:szCs w:val="20"/>
              </w:rPr>
            </w:pPr>
            <w:r>
              <w:rPr>
                <w:rFonts w:cs="SAS Monospace"/>
                <w:sz w:val="20"/>
                <w:szCs w:val="20"/>
              </w:rPr>
              <w:t>263</w:t>
            </w:r>
          </w:p>
        </w:tc>
        <w:tc>
          <w:tcPr>
            <w:tcW w:w="1903" w:type="dxa"/>
          </w:tcPr>
          <w:p w14:paraId="2BF85C81" w14:textId="607D0F0B"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S1CULTURE</w:t>
            </w:r>
          </w:p>
        </w:tc>
        <w:tc>
          <w:tcPr>
            <w:tcW w:w="5788" w:type="dxa"/>
          </w:tcPr>
          <w:p w14:paraId="7201814D" w14:textId="603DCE81"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1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ECA48E8" w14:textId="77777777" w:rsidR="00ED39C0" w:rsidRPr="00436535" w:rsidRDefault="00ED39C0" w:rsidP="004D40F9">
            <w:pPr>
              <w:pStyle w:val="ListParagraph"/>
              <w:ind w:left="0"/>
              <w:rPr>
                <w:rFonts w:cstheme="minorHAnsi"/>
                <w:sz w:val="20"/>
                <w:szCs w:val="20"/>
              </w:rPr>
            </w:pPr>
          </w:p>
        </w:tc>
      </w:tr>
      <w:tr w:rsidR="00ED39C0" w:rsidRPr="006E751A" w14:paraId="253C5706" w14:textId="77777777" w:rsidTr="00604541">
        <w:tc>
          <w:tcPr>
            <w:tcW w:w="977" w:type="dxa"/>
          </w:tcPr>
          <w:p w14:paraId="5B62A361" w14:textId="0F4DBA9A" w:rsidR="00ED39C0" w:rsidRDefault="00ED39C0" w:rsidP="00ED39C0">
            <w:pPr>
              <w:tabs>
                <w:tab w:val="center" w:pos="6480"/>
              </w:tabs>
              <w:autoSpaceDE w:val="0"/>
              <w:autoSpaceDN w:val="0"/>
              <w:adjustRightInd w:val="0"/>
              <w:rPr>
                <w:rFonts w:cs="SAS Monospace"/>
                <w:sz w:val="20"/>
                <w:szCs w:val="20"/>
              </w:rPr>
            </w:pPr>
            <w:r>
              <w:rPr>
                <w:rFonts w:cs="SAS Monospace"/>
                <w:sz w:val="20"/>
                <w:szCs w:val="20"/>
              </w:rPr>
              <w:t>264</w:t>
            </w:r>
          </w:p>
        </w:tc>
        <w:tc>
          <w:tcPr>
            <w:tcW w:w="1903" w:type="dxa"/>
          </w:tcPr>
          <w:p w14:paraId="7222A949" w14:textId="748C040E"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S1SOC</w:t>
            </w:r>
          </w:p>
        </w:tc>
        <w:tc>
          <w:tcPr>
            <w:tcW w:w="5788" w:type="dxa"/>
          </w:tcPr>
          <w:p w14:paraId="36C548AF" w14:textId="0B1E96C5"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49824275" w14:textId="77777777" w:rsidR="00ED39C0" w:rsidRPr="00436535" w:rsidRDefault="00ED39C0" w:rsidP="004D40F9">
            <w:pPr>
              <w:pStyle w:val="ListParagraph"/>
              <w:ind w:left="0"/>
              <w:rPr>
                <w:rFonts w:cstheme="minorHAnsi"/>
                <w:sz w:val="20"/>
                <w:szCs w:val="20"/>
              </w:rPr>
            </w:pPr>
          </w:p>
        </w:tc>
      </w:tr>
      <w:tr w:rsidR="00ED39C0" w:rsidRPr="006E751A" w14:paraId="6DCB50A9" w14:textId="77777777" w:rsidTr="00604541">
        <w:tc>
          <w:tcPr>
            <w:tcW w:w="977" w:type="dxa"/>
          </w:tcPr>
          <w:p w14:paraId="3605C604" w14:textId="787488F7" w:rsidR="00ED39C0" w:rsidRDefault="00ED39C0" w:rsidP="00ED39C0">
            <w:pPr>
              <w:tabs>
                <w:tab w:val="center" w:pos="6480"/>
              </w:tabs>
              <w:autoSpaceDE w:val="0"/>
              <w:autoSpaceDN w:val="0"/>
              <w:adjustRightInd w:val="0"/>
              <w:rPr>
                <w:rFonts w:cs="SAS Monospace"/>
                <w:sz w:val="20"/>
                <w:szCs w:val="20"/>
              </w:rPr>
            </w:pPr>
            <w:r>
              <w:rPr>
                <w:rFonts w:cs="SAS Monospace"/>
                <w:sz w:val="20"/>
                <w:szCs w:val="20"/>
              </w:rPr>
              <w:t>265</w:t>
            </w:r>
          </w:p>
        </w:tc>
        <w:tc>
          <w:tcPr>
            <w:tcW w:w="1903" w:type="dxa"/>
          </w:tcPr>
          <w:p w14:paraId="168A462C" w14:textId="7C4FE605"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A_S1REL</w:t>
            </w:r>
          </w:p>
        </w:tc>
        <w:tc>
          <w:tcPr>
            <w:tcW w:w="5788" w:type="dxa"/>
          </w:tcPr>
          <w:p w14:paraId="51B2BABC" w14:textId="29A3182C"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0B29357" w14:textId="77777777" w:rsidR="00ED39C0" w:rsidRPr="00436535" w:rsidRDefault="00ED39C0" w:rsidP="004D40F9">
            <w:pPr>
              <w:pStyle w:val="ListParagraph"/>
              <w:ind w:left="0"/>
              <w:rPr>
                <w:rFonts w:cstheme="minorHAnsi"/>
                <w:sz w:val="20"/>
                <w:szCs w:val="20"/>
              </w:rPr>
            </w:pPr>
          </w:p>
        </w:tc>
      </w:tr>
      <w:tr w:rsidR="00ED39C0" w:rsidRPr="006E751A" w14:paraId="775DA042" w14:textId="77777777" w:rsidTr="00604541">
        <w:tc>
          <w:tcPr>
            <w:tcW w:w="977" w:type="dxa"/>
          </w:tcPr>
          <w:p w14:paraId="128A077F" w14:textId="70E323E7" w:rsidR="00ED39C0" w:rsidRDefault="00ED39C0" w:rsidP="00ED39C0">
            <w:pPr>
              <w:tabs>
                <w:tab w:val="center" w:pos="6480"/>
              </w:tabs>
              <w:autoSpaceDE w:val="0"/>
              <w:autoSpaceDN w:val="0"/>
              <w:adjustRightInd w:val="0"/>
              <w:rPr>
                <w:rFonts w:cs="SAS Monospace"/>
                <w:sz w:val="20"/>
                <w:szCs w:val="20"/>
              </w:rPr>
            </w:pPr>
            <w:r>
              <w:rPr>
                <w:rFonts w:cs="SAS Monospace"/>
                <w:sz w:val="20"/>
                <w:szCs w:val="20"/>
              </w:rPr>
              <w:t>266</w:t>
            </w:r>
          </w:p>
        </w:tc>
        <w:tc>
          <w:tcPr>
            <w:tcW w:w="1903" w:type="dxa"/>
          </w:tcPr>
          <w:p w14:paraId="544E56B9" w14:textId="5BA90492"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A_S1CULTURE</w:t>
            </w:r>
          </w:p>
        </w:tc>
        <w:tc>
          <w:tcPr>
            <w:tcW w:w="5788" w:type="dxa"/>
          </w:tcPr>
          <w:p w14:paraId="5C61CAE7" w14:textId="5E884BF0"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Cumulative average of 1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EB1D5A3" w14:textId="77777777" w:rsidR="00ED39C0" w:rsidRPr="00436535" w:rsidRDefault="00ED39C0" w:rsidP="004D40F9">
            <w:pPr>
              <w:pStyle w:val="ListParagraph"/>
              <w:ind w:left="0"/>
              <w:rPr>
                <w:rFonts w:cstheme="minorHAnsi"/>
                <w:sz w:val="20"/>
                <w:szCs w:val="20"/>
              </w:rPr>
            </w:pPr>
          </w:p>
        </w:tc>
      </w:tr>
      <w:tr w:rsidR="00ED39C0" w:rsidRPr="006E751A" w14:paraId="2026E230" w14:textId="77777777" w:rsidTr="00604541">
        <w:tc>
          <w:tcPr>
            <w:tcW w:w="977" w:type="dxa"/>
          </w:tcPr>
          <w:p w14:paraId="3EDDEA41" w14:textId="54E53F8A" w:rsidR="00ED39C0" w:rsidRDefault="00ED39C0" w:rsidP="00ED39C0">
            <w:pPr>
              <w:tabs>
                <w:tab w:val="center" w:pos="6480"/>
              </w:tabs>
              <w:autoSpaceDE w:val="0"/>
              <w:autoSpaceDN w:val="0"/>
              <w:adjustRightInd w:val="0"/>
              <w:rPr>
                <w:rFonts w:cs="SAS Monospace"/>
                <w:sz w:val="20"/>
                <w:szCs w:val="20"/>
              </w:rPr>
            </w:pPr>
            <w:r>
              <w:rPr>
                <w:rFonts w:cs="SAS Monospace"/>
                <w:sz w:val="20"/>
                <w:szCs w:val="20"/>
              </w:rPr>
              <w:t>267</w:t>
            </w:r>
          </w:p>
        </w:tc>
        <w:tc>
          <w:tcPr>
            <w:tcW w:w="1903" w:type="dxa"/>
          </w:tcPr>
          <w:p w14:paraId="6270A211" w14:textId="098A9EB3"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A_S1SOC</w:t>
            </w:r>
          </w:p>
        </w:tc>
        <w:tc>
          <w:tcPr>
            <w:tcW w:w="5788" w:type="dxa"/>
          </w:tcPr>
          <w:p w14:paraId="160659F1" w14:textId="0D6B9C12" w:rsidR="00ED39C0" w:rsidRDefault="00ED39C0" w:rsidP="00ED39C0">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CB53E62" w14:textId="77777777" w:rsidR="00ED39C0" w:rsidRPr="00436535" w:rsidRDefault="00ED39C0" w:rsidP="004D40F9">
            <w:pPr>
              <w:pStyle w:val="ListParagraph"/>
              <w:ind w:left="0"/>
              <w:rPr>
                <w:rFonts w:cstheme="minorHAnsi"/>
                <w:sz w:val="20"/>
                <w:szCs w:val="20"/>
              </w:rPr>
            </w:pPr>
          </w:p>
        </w:tc>
      </w:tr>
      <w:tr w:rsidR="001D7D49" w:rsidRPr="006E751A" w14:paraId="0C41E712" w14:textId="77777777" w:rsidTr="00604541">
        <w:tc>
          <w:tcPr>
            <w:tcW w:w="977" w:type="dxa"/>
          </w:tcPr>
          <w:p w14:paraId="4012FA72" w14:textId="550F82AB" w:rsidR="001D7D49" w:rsidRDefault="001D7D49" w:rsidP="00ED39C0">
            <w:pPr>
              <w:tabs>
                <w:tab w:val="center" w:pos="6480"/>
              </w:tabs>
              <w:autoSpaceDE w:val="0"/>
              <w:autoSpaceDN w:val="0"/>
              <w:adjustRightInd w:val="0"/>
              <w:rPr>
                <w:rFonts w:cs="SAS Monospace"/>
                <w:sz w:val="20"/>
                <w:szCs w:val="20"/>
              </w:rPr>
            </w:pPr>
            <w:r>
              <w:rPr>
                <w:rFonts w:cs="SAS Monospace"/>
                <w:sz w:val="20"/>
                <w:szCs w:val="20"/>
              </w:rPr>
              <w:t>268</w:t>
            </w:r>
          </w:p>
        </w:tc>
        <w:tc>
          <w:tcPr>
            <w:tcW w:w="1903" w:type="dxa"/>
          </w:tcPr>
          <w:p w14:paraId="331ECC0B" w14:textId="69F222E6"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S3REL</w:t>
            </w:r>
          </w:p>
        </w:tc>
        <w:tc>
          <w:tcPr>
            <w:tcW w:w="5788" w:type="dxa"/>
          </w:tcPr>
          <w:p w14:paraId="3F8699AA" w14:textId="520D4D6A" w:rsidR="001D7D49" w:rsidRDefault="001D7D49" w:rsidP="00ED39C0">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9C1D62B" w14:textId="77777777" w:rsidR="001D7D49" w:rsidRPr="00436535" w:rsidRDefault="001D7D49" w:rsidP="004D40F9">
            <w:pPr>
              <w:pStyle w:val="ListParagraph"/>
              <w:ind w:left="0"/>
              <w:rPr>
                <w:rFonts w:cstheme="minorHAnsi"/>
                <w:sz w:val="20"/>
                <w:szCs w:val="20"/>
              </w:rPr>
            </w:pPr>
          </w:p>
        </w:tc>
      </w:tr>
      <w:tr w:rsidR="001D7D49" w:rsidRPr="006E751A" w14:paraId="0F13D263" w14:textId="77777777" w:rsidTr="00604541">
        <w:tc>
          <w:tcPr>
            <w:tcW w:w="977" w:type="dxa"/>
          </w:tcPr>
          <w:p w14:paraId="506FEC30" w14:textId="4B387A28" w:rsidR="001D7D49" w:rsidRDefault="001D7D49" w:rsidP="001D7D49">
            <w:pPr>
              <w:tabs>
                <w:tab w:val="center" w:pos="6480"/>
              </w:tabs>
              <w:autoSpaceDE w:val="0"/>
              <w:autoSpaceDN w:val="0"/>
              <w:adjustRightInd w:val="0"/>
              <w:rPr>
                <w:rFonts w:cs="SAS Monospace"/>
                <w:sz w:val="20"/>
                <w:szCs w:val="20"/>
              </w:rPr>
            </w:pPr>
            <w:r>
              <w:rPr>
                <w:rFonts w:cs="SAS Monospace"/>
                <w:sz w:val="20"/>
                <w:szCs w:val="20"/>
              </w:rPr>
              <w:t>269</w:t>
            </w:r>
          </w:p>
        </w:tc>
        <w:tc>
          <w:tcPr>
            <w:tcW w:w="1903" w:type="dxa"/>
          </w:tcPr>
          <w:p w14:paraId="70C4DCDA" w14:textId="02DFEA16"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S3CULTURE</w:t>
            </w:r>
          </w:p>
        </w:tc>
        <w:tc>
          <w:tcPr>
            <w:tcW w:w="5788" w:type="dxa"/>
          </w:tcPr>
          <w:p w14:paraId="4B599B38" w14:textId="76AF91E5" w:rsidR="001D7D49" w:rsidRDefault="001D7D49" w:rsidP="00ED39C0">
            <w:pPr>
              <w:tabs>
                <w:tab w:val="center" w:pos="6480"/>
              </w:tabs>
              <w:autoSpaceDE w:val="0"/>
              <w:autoSpaceDN w:val="0"/>
              <w:adjustRightInd w:val="0"/>
              <w:rPr>
                <w:rFonts w:cstheme="minorHAnsi"/>
                <w:sz w:val="20"/>
                <w:szCs w:val="20"/>
              </w:rPr>
            </w:pPr>
            <w:r>
              <w:rPr>
                <w:rFonts w:cstheme="minorHAnsi"/>
                <w:sz w:val="20"/>
                <w:szCs w:val="20"/>
              </w:rPr>
              <w:t>3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47A48F21" w14:textId="77777777" w:rsidR="001D7D49" w:rsidRPr="00436535" w:rsidRDefault="001D7D49" w:rsidP="004D40F9">
            <w:pPr>
              <w:pStyle w:val="ListParagraph"/>
              <w:ind w:left="0"/>
              <w:rPr>
                <w:rFonts w:cstheme="minorHAnsi"/>
                <w:sz w:val="20"/>
                <w:szCs w:val="20"/>
              </w:rPr>
            </w:pPr>
          </w:p>
        </w:tc>
      </w:tr>
      <w:tr w:rsidR="001D7D49" w:rsidRPr="006E751A" w14:paraId="1F1AE34D" w14:textId="77777777" w:rsidTr="00604541">
        <w:tc>
          <w:tcPr>
            <w:tcW w:w="977" w:type="dxa"/>
          </w:tcPr>
          <w:p w14:paraId="6CE2F0FC" w14:textId="1746FA6A" w:rsidR="001D7D49" w:rsidRDefault="001D7D49" w:rsidP="001D7D49">
            <w:pPr>
              <w:tabs>
                <w:tab w:val="center" w:pos="6480"/>
              </w:tabs>
              <w:autoSpaceDE w:val="0"/>
              <w:autoSpaceDN w:val="0"/>
              <w:adjustRightInd w:val="0"/>
              <w:rPr>
                <w:rFonts w:cs="SAS Monospace"/>
                <w:sz w:val="20"/>
                <w:szCs w:val="20"/>
              </w:rPr>
            </w:pPr>
            <w:r>
              <w:rPr>
                <w:rFonts w:cs="SAS Monospace"/>
                <w:sz w:val="20"/>
                <w:szCs w:val="20"/>
              </w:rPr>
              <w:t>270</w:t>
            </w:r>
          </w:p>
        </w:tc>
        <w:tc>
          <w:tcPr>
            <w:tcW w:w="1903" w:type="dxa"/>
          </w:tcPr>
          <w:p w14:paraId="5943DA46" w14:textId="66CB1709"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S3SOC</w:t>
            </w:r>
          </w:p>
        </w:tc>
        <w:tc>
          <w:tcPr>
            <w:tcW w:w="5788" w:type="dxa"/>
          </w:tcPr>
          <w:p w14:paraId="1B198A78" w14:textId="5B4F61EB" w:rsidR="001D7D49" w:rsidRDefault="001D7D49" w:rsidP="00ED39C0">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total social 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DE1EBAB" w14:textId="77777777" w:rsidR="001D7D49" w:rsidRPr="00436535" w:rsidRDefault="001D7D49" w:rsidP="004D40F9">
            <w:pPr>
              <w:pStyle w:val="ListParagraph"/>
              <w:ind w:left="0"/>
              <w:rPr>
                <w:rFonts w:cstheme="minorHAnsi"/>
                <w:sz w:val="20"/>
                <w:szCs w:val="20"/>
              </w:rPr>
            </w:pPr>
          </w:p>
        </w:tc>
      </w:tr>
      <w:tr w:rsidR="001D7D49" w:rsidRPr="006E751A" w14:paraId="296A307E" w14:textId="77777777" w:rsidTr="00604541">
        <w:tc>
          <w:tcPr>
            <w:tcW w:w="977" w:type="dxa"/>
          </w:tcPr>
          <w:p w14:paraId="7E96A73B" w14:textId="017D6E9F" w:rsidR="001D7D49" w:rsidRDefault="001D7D49" w:rsidP="001D7D49">
            <w:pPr>
              <w:tabs>
                <w:tab w:val="center" w:pos="6480"/>
              </w:tabs>
              <w:autoSpaceDE w:val="0"/>
              <w:autoSpaceDN w:val="0"/>
              <w:adjustRightInd w:val="0"/>
              <w:rPr>
                <w:rFonts w:cs="SAS Monospace"/>
                <w:sz w:val="20"/>
                <w:szCs w:val="20"/>
              </w:rPr>
            </w:pPr>
            <w:r>
              <w:rPr>
                <w:rFonts w:cs="SAS Monospace"/>
                <w:sz w:val="20"/>
                <w:szCs w:val="20"/>
              </w:rPr>
              <w:t>271</w:t>
            </w:r>
          </w:p>
        </w:tc>
        <w:tc>
          <w:tcPr>
            <w:tcW w:w="1903" w:type="dxa"/>
          </w:tcPr>
          <w:p w14:paraId="749A8E66" w14:textId="3C55707B"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A_S3REL</w:t>
            </w:r>
          </w:p>
        </w:tc>
        <w:tc>
          <w:tcPr>
            <w:tcW w:w="5788" w:type="dxa"/>
          </w:tcPr>
          <w:p w14:paraId="6855C495" w14:textId="1949E884" w:rsidR="001D7D49" w:rsidRDefault="001D7D49" w:rsidP="00ED39C0">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religion institutions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3D6366C4" w14:textId="77777777" w:rsidR="001D7D49" w:rsidRPr="00436535" w:rsidRDefault="001D7D49" w:rsidP="004D40F9">
            <w:pPr>
              <w:pStyle w:val="ListParagraph"/>
              <w:ind w:left="0"/>
              <w:rPr>
                <w:rFonts w:cstheme="minorHAnsi"/>
                <w:sz w:val="20"/>
                <w:szCs w:val="20"/>
              </w:rPr>
            </w:pPr>
          </w:p>
        </w:tc>
      </w:tr>
      <w:tr w:rsidR="001D7D49" w:rsidRPr="006E751A" w14:paraId="74BD4200" w14:textId="77777777" w:rsidTr="00604541">
        <w:tc>
          <w:tcPr>
            <w:tcW w:w="977" w:type="dxa"/>
          </w:tcPr>
          <w:p w14:paraId="086B8933" w14:textId="4369C3BB" w:rsidR="001D7D49" w:rsidRDefault="001D7D49" w:rsidP="001D7D49">
            <w:pPr>
              <w:tabs>
                <w:tab w:val="center" w:pos="6480"/>
              </w:tabs>
              <w:autoSpaceDE w:val="0"/>
              <w:autoSpaceDN w:val="0"/>
              <w:adjustRightInd w:val="0"/>
              <w:rPr>
                <w:rFonts w:cs="SAS Monospace"/>
                <w:sz w:val="20"/>
                <w:szCs w:val="20"/>
              </w:rPr>
            </w:pPr>
            <w:r>
              <w:rPr>
                <w:rFonts w:cs="SAS Monospace"/>
                <w:sz w:val="20"/>
                <w:szCs w:val="20"/>
              </w:rPr>
              <w:t>272</w:t>
            </w:r>
          </w:p>
        </w:tc>
        <w:tc>
          <w:tcPr>
            <w:tcW w:w="1903" w:type="dxa"/>
          </w:tcPr>
          <w:p w14:paraId="207B21F3" w14:textId="10C73D90"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A_S3CULTURE</w:t>
            </w:r>
          </w:p>
        </w:tc>
        <w:tc>
          <w:tcPr>
            <w:tcW w:w="5788" w:type="dxa"/>
          </w:tcPr>
          <w:p w14:paraId="2ED23880" w14:textId="5627B577"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Cumulative average of 3 mile simple density of cultural destinations (performance based entertainment, libraries, museums, art galleries)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51CE5C71" w14:textId="77777777" w:rsidR="001D7D49" w:rsidRPr="00436535" w:rsidRDefault="001D7D49" w:rsidP="004D40F9">
            <w:pPr>
              <w:pStyle w:val="ListParagraph"/>
              <w:ind w:left="0"/>
              <w:rPr>
                <w:rFonts w:cstheme="minorHAnsi"/>
                <w:sz w:val="20"/>
                <w:szCs w:val="20"/>
              </w:rPr>
            </w:pPr>
          </w:p>
        </w:tc>
      </w:tr>
      <w:tr w:rsidR="001D7D49" w:rsidRPr="006E751A" w14:paraId="537C9FC9" w14:textId="77777777" w:rsidTr="00604541">
        <w:tc>
          <w:tcPr>
            <w:tcW w:w="977" w:type="dxa"/>
          </w:tcPr>
          <w:p w14:paraId="1115F8B0" w14:textId="4B86A41D" w:rsidR="001D7D49" w:rsidRDefault="001D7D49" w:rsidP="001D7D49">
            <w:pPr>
              <w:tabs>
                <w:tab w:val="center" w:pos="6480"/>
              </w:tabs>
              <w:autoSpaceDE w:val="0"/>
              <w:autoSpaceDN w:val="0"/>
              <w:adjustRightInd w:val="0"/>
              <w:rPr>
                <w:rFonts w:cs="SAS Monospace"/>
                <w:sz w:val="20"/>
                <w:szCs w:val="20"/>
              </w:rPr>
            </w:pPr>
            <w:r>
              <w:rPr>
                <w:rFonts w:cs="SAS Monospace"/>
                <w:sz w:val="20"/>
                <w:szCs w:val="20"/>
              </w:rPr>
              <w:t>273</w:t>
            </w:r>
          </w:p>
        </w:tc>
        <w:tc>
          <w:tcPr>
            <w:tcW w:w="1903" w:type="dxa"/>
          </w:tcPr>
          <w:p w14:paraId="12F223B3" w14:textId="062ADB20"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A_S3SOC</w:t>
            </w:r>
          </w:p>
        </w:tc>
        <w:tc>
          <w:tcPr>
            <w:tcW w:w="5788" w:type="dxa"/>
          </w:tcPr>
          <w:p w14:paraId="6E50407F" w14:textId="6A754349" w:rsidR="001D7D49" w:rsidRDefault="001D7D49" w:rsidP="001D7D49">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 xml:space="preserve">total social </w:t>
            </w:r>
            <w:r>
              <w:rPr>
                <w:rFonts w:cstheme="minorHAnsi"/>
                <w:sz w:val="20"/>
                <w:szCs w:val="20"/>
              </w:rPr>
              <w:lastRenderedPageBreak/>
              <w:t>engagement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17C74A5D" w14:textId="77777777" w:rsidR="001D7D49" w:rsidRPr="00436535" w:rsidRDefault="001D7D49" w:rsidP="004D40F9">
            <w:pPr>
              <w:pStyle w:val="ListParagraph"/>
              <w:ind w:left="0"/>
              <w:rPr>
                <w:rFonts w:cstheme="minorHAnsi"/>
                <w:sz w:val="20"/>
                <w:szCs w:val="20"/>
              </w:rPr>
            </w:pPr>
          </w:p>
        </w:tc>
      </w:tr>
      <w:tr w:rsidR="0040750C" w:rsidRPr="006E751A" w14:paraId="0C77B264" w14:textId="77777777" w:rsidTr="00604541">
        <w:tc>
          <w:tcPr>
            <w:tcW w:w="977" w:type="dxa"/>
          </w:tcPr>
          <w:p w14:paraId="495EE1AC" w14:textId="3C31980E" w:rsidR="0040750C" w:rsidRDefault="0040750C" w:rsidP="001D7D49">
            <w:pPr>
              <w:tabs>
                <w:tab w:val="center" w:pos="6480"/>
              </w:tabs>
              <w:autoSpaceDE w:val="0"/>
              <w:autoSpaceDN w:val="0"/>
              <w:adjustRightInd w:val="0"/>
              <w:rPr>
                <w:rFonts w:cs="SAS Monospace"/>
                <w:sz w:val="20"/>
                <w:szCs w:val="20"/>
              </w:rPr>
            </w:pPr>
            <w:r>
              <w:rPr>
                <w:rFonts w:cs="SAS Monospace"/>
                <w:sz w:val="20"/>
                <w:szCs w:val="20"/>
              </w:rPr>
              <w:lastRenderedPageBreak/>
              <w:t>274</w:t>
            </w:r>
          </w:p>
        </w:tc>
        <w:tc>
          <w:tcPr>
            <w:tcW w:w="1903" w:type="dxa"/>
          </w:tcPr>
          <w:p w14:paraId="580461D1" w14:textId="3B550599"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ASDREL</w:t>
            </w:r>
          </w:p>
        </w:tc>
        <w:tc>
          <w:tcPr>
            <w:tcW w:w="5788" w:type="dxa"/>
          </w:tcPr>
          <w:p w14:paraId="3B298311" w14:textId="60878B65"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religion institutions (meters)</w:t>
            </w:r>
            <w:r w:rsidRPr="00436535">
              <w:rPr>
                <w:rFonts w:cstheme="minorHAnsi"/>
                <w:sz w:val="20"/>
                <w:szCs w:val="20"/>
              </w:rPr>
              <w:t>.</w:t>
            </w:r>
          </w:p>
        </w:tc>
        <w:tc>
          <w:tcPr>
            <w:tcW w:w="1952" w:type="dxa"/>
          </w:tcPr>
          <w:p w14:paraId="4295EB7B" w14:textId="77777777" w:rsidR="0040750C" w:rsidRPr="00436535" w:rsidRDefault="0040750C" w:rsidP="004D40F9">
            <w:pPr>
              <w:pStyle w:val="ListParagraph"/>
              <w:ind w:left="0"/>
              <w:rPr>
                <w:rFonts w:cstheme="minorHAnsi"/>
                <w:sz w:val="20"/>
                <w:szCs w:val="20"/>
              </w:rPr>
            </w:pPr>
          </w:p>
        </w:tc>
      </w:tr>
      <w:tr w:rsidR="0040750C" w:rsidRPr="006E751A" w14:paraId="4F68BB45" w14:textId="77777777" w:rsidTr="00604541">
        <w:tc>
          <w:tcPr>
            <w:tcW w:w="977" w:type="dxa"/>
          </w:tcPr>
          <w:p w14:paraId="24B94C96" w14:textId="7D4985A9" w:rsidR="0040750C" w:rsidRDefault="0040750C" w:rsidP="0040750C">
            <w:pPr>
              <w:tabs>
                <w:tab w:val="center" w:pos="6480"/>
              </w:tabs>
              <w:autoSpaceDE w:val="0"/>
              <w:autoSpaceDN w:val="0"/>
              <w:adjustRightInd w:val="0"/>
              <w:rPr>
                <w:rFonts w:cs="SAS Monospace"/>
                <w:sz w:val="20"/>
                <w:szCs w:val="20"/>
              </w:rPr>
            </w:pPr>
            <w:r>
              <w:rPr>
                <w:rFonts w:cs="SAS Monospace"/>
                <w:sz w:val="20"/>
                <w:szCs w:val="20"/>
              </w:rPr>
              <w:t>275</w:t>
            </w:r>
          </w:p>
        </w:tc>
        <w:tc>
          <w:tcPr>
            <w:tcW w:w="1903" w:type="dxa"/>
          </w:tcPr>
          <w:p w14:paraId="73BBDAE6" w14:textId="5694F8B5"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ASDCULTURE</w:t>
            </w:r>
          </w:p>
        </w:tc>
        <w:tc>
          <w:tcPr>
            <w:tcW w:w="5788" w:type="dxa"/>
          </w:tcPr>
          <w:p w14:paraId="08C9A38B" w14:textId="26EDEFA1"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Euclidean distance to nearest of cultural destinations (performance based entertainment, libraries, museums, art galleries) (meters).</w:t>
            </w:r>
          </w:p>
        </w:tc>
        <w:tc>
          <w:tcPr>
            <w:tcW w:w="1952" w:type="dxa"/>
          </w:tcPr>
          <w:p w14:paraId="3A93B3E2" w14:textId="77777777" w:rsidR="0040750C" w:rsidRPr="00436535" w:rsidRDefault="0040750C" w:rsidP="004D40F9">
            <w:pPr>
              <w:pStyle w:val="ListParagraph"/>
              <w:ind w:left="0"/>
              <w:rPr>
                <w:rFonts w:cstheme="minorHAnsi"/>
                <w:sz w:val="20"/>
                <w:szCs w:val="20"/>
              </w:rPr>
            </w:pPr>
          </w:p>
        </w:tc>
      </w:tr>
      <w:tr w:rsidR="0040750C" w:rsidRPr="006E751A" w14:paraId="40153B7B" w14:textId="77777777" w:rsidTr="00604541">
        <w:tc>
          <w:tcPr>
            <w:tcW w:w="977" w:type="dxa"/>
          </w:tcPr>
          <w:p w14:paraId="270735E6" w14:textId="110EC5D6" w:rsidR="0040750C" w:rsidRDefault="0040750C" w:rsidP="0040750C">
            <w:pPr>
              <w:tabs>
                <w:tab w:val="center" w:pos="6480"/>
              </w:tabs>
              <w:autoSpaceDE w:val="0"/>
              <w:autoSpaceDN w:val="0"/>
              <w:adjustRightInd w:val="0"/>
              <w:rPr>
                <w:rFonts w:cs="SAS Monospace"/>
                <w:sz w:val="20"/>
                <w:szCs w:val="20"/>
              </w:rPr>
            </w:pPr>
            <w:r>
              <w:rPr>
                <w:rFonts w:cs="SAS Monospace"/>
                <w:sz w:val="20"/>
                <w:szCs w:val="20"/>
              </w:rPr>
              <w:t>276</w:t>
            </w:r>
          </w:p>
        </w:tc>
        <w:tc>
          <w:tcPr>
            <w:tcW w:w="1903" w:type="dxa"/>
          </w:tcPr>
          <w:p w14:paraId="5AAB850E" w14:textId="1E4D8A0B"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ASDSOC</w:t>
            </w:r>
          </w:p>
        </w:tc>
        <w:tc>
          <w:tcPr>
            <w:tcW w:w="5788" w:type="dxa"/>
          </w:tcPr>
          <w:p w14:paraId="011C5563" w14:textId="63A87F3B" w:rsidR="0040750C" w:rsidRDefault="0040750C" w:rsidP="0040750C">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total social engagement destinations (meters)</w:t>
            </w:r>
            <w:r w:rsidRPr="00436535">
              <w:rPr>
                <w:rFonts w:cstheme="minorHAnsi"/>
                <w:sz w:val="20"/>
                <w:szCs w:val="20"/>
              </w:rPr>
              <w:t>.</w:t>
            </w:r>
          </w:p>
        </w:tc>
        <w:tc>
          <w:tcPr>
            <w:tcW w:w="1952" w:type="dxa"/>
          </w:tcPr>
          <w:p w14:paraId="37046EA3" w14:textId="77777777" w:rsidR="0040750C" w:rsidRPr="00436535" w:rsidRDefault="0040750C" w:rsidP="004D40F9">
            <w:pPr>
              <w:pStyle w:val="ListParagraph"/>
              <w:ind w:left="0"/>
              <w:rPr>
                <w:rFonts w:cstheme="minorHAnsi"/>
                <w:sz w:val="20"/>
                <w:szCs w:val="20"/>
              </w:rPr>
            </w:pPr>
          </w:p>
        </w:tc>
      </w:tr>
      <w:tr w:rsidR="00CE4BB7" w:rsidRPr="006E751A" w14:paraId="2FF51C5E" w14:textId="77777777" w:rsidTr="00604541">
        <w:tc>
          <w:tcPr>
            <w:tcW w:w="977" w:type="dxa"/>
          </w:tcPr>
          <w:p w14:paraId="5F5BFA63" w14:textId="77777777" w:rsidR="00CE4BB7" w:rsidRDefault="00CE4BB7" w:rsidP="0040750C">
            <w:pPr>
              <w:tabs>
                <w:tab w:val="center" w:pos="6480"/>
              </w:tabs>
              <w:autoSpaceDE w:val="0"/>
              <w:autoSpaceDN w:val="0"/>
              <w:adjustRightInd w:val="0"/>
              <w:rPr>
                <w:rFonts w:cs="SAS Monospace"/>
                <w:sz w:val="20"/>
                <w:szCs w:val="20"/>
              </w:rPr>
            </w:pPr>
          </w:p>
        </w:tc>
        <w:tc>
          <w:tcPr>
            <w:tcW w:w="1903" w:type="dxa"/>
          </w:tcPr>
          <w:p w14:paraId="66A1907D" w14:textId="77777777" w:rsidR="00CE4BB7" w:rsidRPr="00436535" w:rsidRDefault="00CE4BB7" w:rsidP="0040750C">
            <w:pPr>
              <w:tabs>
                <w:tab w:val="center" w:pos="6480"/>
              </w:tabs>
              <w:autoSpaceDE w:val="0"/>
              <w:autoSpaceDN w:val="0"/>
              <w:adjustRightInd w:val="0"/>
              <w:rPr>
                <w:rFonts w:cstheme="minorHAnsi"/>
                <w:sz w:val="20"/>
                <w:szCs w:val="20"/>
              </w:rPr>
            </w:pPr>
          </w:p>
        </w:tc>
        <w:tc>
          <w:tcPr>
            <w:tcW w:w="5788" w:type="dxa"/>
          </w:tcPr>
          <w:p w14:paraId="5F30F429" w14:textId="77777777" w:rsidR="00CE4BB7" w:rsidRPr="00436535" w:rsidRDefault="00CE4BB7" w:rsidP="007C53FD">
            <w:pPr>
              <w:tabs>
                <w:tab w:val="center" w:pos="6480"/>
              </w:tabs>
              <w:autoSpaceDE w:val="0"/>
              <w:autoSpaceDN w:val="0"/>
              <w:adjustRightInd w:val="0"/>
              <w:rPr>
                <w:rFonts w:cstheme="minorHAnsi"/>
                <w:sz w:val="20"/>
                <w:szCs w:val="20"/>
              </w:rPr>
            </w:pPr>
          </w:p>
        </w:tc>
        <w:tc>
          <w:tcPr>
            <w:tcW w:w="1952" w:type="dxa"/>
          </w:tcPr>
          <w:p w14:paraId="7413A02F" w14:textId="77777777" w:rsidR="00CE4BB7" w:rsidRPr="00436535" w:rsidRDefault="00CE4BB7" w:rsidP="004D40F9">
            <w:pPr>
              <w:pStyle w:val="ListParagraph"/>
              <w:ind w:left="0"/>
              <w:rPr>
                <w:rFonts w:cstheme="minorHAnsi"/>
                <w:sz w:val="20"/>
                <w:szCs w:val="20"/>
              </w:rPr>
            </w:pPr>
          </w:p>
        </w:tc>
      </w:tr>
      <w:tr w:rsidR="00CE4BB7" w:rsidRPr="006E751A" w14:paraId="6A119556" w14:textId="77777777" w:rsidTr="00D4068B">
        <w:tc>
          <w:tcPr>
            <w:tcW w:w="10620" w:type="dxa"/>
            <w:gridSpan w:val="4"/>
          </w:tcPr>
          <w:p w14:paraId="3A79B495" w14:textId="5EF5FD55" w:rsidR="00CE4BB7" w:rsidRPr="00CE4BB7" w:rsidRDefault="00CE4BB7" w:rsidP="004D40F9">
            <w:pPr>
              <w:pStyle w:val="ListParagraph"/>
              <w:ind w:left="0"/>
              <w:rPr>
                <w:rFonts w:cstheme="minorHAnsi"/>
                <w:b/>
                <w:sz w:val="20"/>
                <w:szCs w:val="20"/>
              </w:rPr>
            </w:pPr>
            <w:r w:rsidRPr="00CE4BB7">
              <w:rPr>
                <w:rFonts w:cs="SAS Monospace"/>
                <w:b/>
                <w:sz w:val="20"/>
                <w:szCs w:val="20"/>
              </w:rPr>
              <w:t>POPULAR WALKING DESTINATIONS</w:t>
            </w:r>
          </w:p>
        </w:tc>
      </w:tr>
      <w:tr w:rsidR="007C53FD" w:rsidRPr="006E751A" w14:paraId="570188CA" w14:textId="77777777" w:rsidTr="00604541">
        <w:tc>
          <w:tcPr>
            <w:tcW w:w="977" w:type="dxa"/>
          </w:tcPr>
          <w:p w14:paraId="3E859A30" w14:textId="70E98186" w:rsidR="007C53FD" w:rsidRDefault="007C53FD" w:rsidP="0040750C">
            <w:pPr>
              <w:tabs>
                <w:tab w:val="center" w:pos="6480"/>
              </w:tabs>
              <w:autoSpaceDE w:val="0"/>
              <w:autoSpaceDN w:val="0"/>
              <w:adjustRightInd w:val="0"/>
              <w:rPr>
                <w:rFonts w:cs="SAS Monospace"/>
                <w:sz w:val="20"/>
                <w:szCs w:val="20"/>
              </w:rPr>
            </w:pPr>
            <w:r>
              <w:rPr>
                <w:rFonts w:cs="SAS Monospace"/>
                <w:sz w:val="20"/>
                <w:szCs w:val="20"/>
              </w:rPr>
              <w:t>277</w:t>
            </w:r>
          </w:p>
        </w:tc>
        <w:tc>
          <w:tcPr>
            <w:tcW w:w="1903" w:type="dxa"/>
          </w:tcPr>
          <w:p w14:paraId="2678F27D" w14:textId="483E23E2" w:rsidR="007C53FD" w:rsidRDefault="007C53FD" w:rsidP="0040750C">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0WALK</w:t>
            </w:r>
          </w:p>
        </w:tc>
        <w:tc>
          <w:tcPr>
            <w:tcW w:w="5788" w:type="dxa"/>
          </w:tcPr>
          <w:p w14:paraId="08FB7117" w14:textId="293DAEA4" w:rsidR="007C53FD" w:rsidRDefault="007C53FD" w:rsidP="007C53FD">
            <w:pPr>
              <w:tabs>
                <w:tab w:val="center" w:pos="6480"/>
              </w:tabs>
              <w:autoSpaceDE w:val="0"/>
              <w:autoSpaceDN w:val="0"/>
              <w:adjustRightInd w:val="0"/>
              <w:rPr>
                <w:rFonts w:cstheme="minorHAnsi"/>
                <w:sz w:val="20"/>
                <w:szCs w:val="20"/>
              </w:rPr>
            </w:pPr>
            <w:r w:rsidRPr="00436535">
              <w:rPr>
                <w:rFonts w:cstheme="minorHAnsi"/>
                <w:sz w:val="20"/>
                <w:szCs w:val="20"/>
              </w:rPr>
              <w:t>1/</w:t>
            </w:r>
            <w:r>
              <w:rPr>
                <w:rFonts w:cstheme="minorHAnsi"/>
                <w:sz w:val="20"/>
                <w:szCs w:val="20"/>
              </w:rPr>
              <w:t>2</w:t>
            </w:r>
            <w:r w:rsidRPr="00436535">
              <w:rPr>
                <w:rFonts w:cstheme="minorHAnsi"/>
                <w:sz w:val="20"/>
                <w:szCs w:val="20"/>
              </w:rPr>
              <w:t xml:space="preserve">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312E445E" w14:textId="77777777" w:rsidR="007C53FD" w:rsidRPr="00436535" w:rsidRDefault="007C53FD" w:rsidP="004D40F9">
            <w:pPr>
              <w:pStyle w:val="ListParagraph"/>
              <w:ind w:left="0"/>
              <w:rPr>
                <w:rFonts w:cstheme="minorHAnsi"/>
                <w:sz w:val="20"/>
                <w:szCs w:val="20"/>
              </w:rPr>
            </w:pPr>
          </w:p>
        </w:tc>
      </w:tr>
      <w:tr w:rsidR="007C53FD" w:rsidRPr="006E751A" w14:paraId="60D5091C" w14:textId="77777777" w:rsidTr="00604541">
        <w:tc>
          <w:tcPr>
            <w:tcW w:w="977" w:type="dxa"/>
          </w:tcPr>
          <w:p w14:paraId="25B082B7" w14:textId="1D7379BB" w:rsidR="007C53FD" w:rsidRDefault="007C53FD" w:rsidP="0040750C">
            <w:pPr>
              <w:tabs>
                <w:tab w:val="center" w:pos="6480"/>
              </w:tabs>
              <w:autoSpaceDE w:val="0"/>
              <w:autoSpaceDN w:val="0"/>
              <w:adjustRightInd w:val="0"/>
              <w:rPr>
                <w:rFonts w:cs="SAS Monospace"/>
                <w:sz w:val="20"/>
                <w:szCs w:val="20"/>
              </w:rPr>
            </w:pPr>
            <w:r>
              <w:rPr>
                <w:rFonts w:cs="SAS Monospace"/>
                <w:sz w:val="20"/>
                <w:szCs w:val="20"/>
              </w:rPr>
              <w:t>278</w:t>
            </w:r>
          </w:p>
        </w:tc>
        <w:tc>
          <w:tcPr>
            <w:tcW w:w="1903" w:type="dxa"/>
          </w:tcPr>
          <w:p w14:paraId="7F9372FB" w14:textId="7211B154" w:rsidR="007C53FD" w:rsidRPr="00436535" w:rsidRDefault="007C53FD" w:rsidP="0040750C">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0WALK</w:t>
            </w:r>
          </w:p>
        </w:tc>
        <w:tc>
          <w:tcPr>
            <w:tcW w:w="5788" w:type="dxa"/>
          </w:tcPr>
          <w:p w14:paraId="56AEF27B" w14:textId="2BCCDEC6"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1/</w:t>
            </w:r>
            <w:r>
              <w:rPr>
                <w:rFonts w:cstheme="minorHAnsi"/>
                <w:sz w:val="20"/>
                <w:szCs w:val="20"/>
              </w:rPr>
              <w:t>2</w:t>
            </w:r>
            <w:r w:rsidRPr="00436535">
              <w:rPr>
                <w:rFonts w:cstheme="minorHAnsi"/>
                <w:sz w:val="20"/>
                <w:szCs w:val="20"/>
              </w:rPr>
              <w:t xml:space="preserve">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09936B9" w14:textId="77777777" w:rsidR="007C53FD" w:rsidRPr="00436535" w:rsidRDefault="007C53FD" w:rsidP="004D40F9">
            <w:pPr>
              <w:pStyle w:val="ListParagraph"/>
              <w:ind w:left="0"/>
              <w:rPr>
                <w:rFonts w:cstheme="minorHAnsi"/>
                <w:sz w:val="20"/>
                <w:szCs w:val="20"/>
              </w:rPr>
            </w:pPr>
          </w:p>
        </w:tc>
      </w:tr>
      <w:tr w:rsidR="007C53FD" w:rsidRPr="006E751A" w14:paraId="6A4B83B2" w14:textId="77777777" w:rsidTr="00604541">
        <w:tc>
          <w:tcPr>
            <w:tcW w:w="977" w:type="dxa"/>
          </w:tcPr>
          <w:p w14:paraId="6C258524" w14:textId="62CD8F76"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279</w:t>
            </w:r>
          </w:p>
        </w:tc>
        <w:tc>
          <w:tcPr>
            <w:tcW w:w="1903" w:type="dxa"/>
          </w:tcPr>
          <w:p w14:paraId="7671A425" w14:textId="05E8CF1A" w:rsidR="007C53FD" w:rsidRPr="00436535" w:rsidRDefault="007C53FD" w:rsidP="007C53FD">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1WALK</w:t>
            </w:r>
          </w:p>
        </w:tc>
        <w:tc>
          <w:tcPr>
            <w:tcW w:w="5788" w:type="dxa"/>
          </w:tcPr>
          <w:p w14:paraId="00B31934" w14:textId="5A0F204E" w:rsidR="007C53FD" w:rsidRPr="00436535" w:rsidRDefault="007C53FD" w:rsidP="007C53FD">
            <w:pPr>
              <w:tabs>
                <w:tab w:val="center" w:pos="6480"/>
              </w:tabs>
              <w:autoSpaceDE w:val="0"/>
              <w:autoSpaceDN w:val="0"/>
              <w:adjustRightInd w:val="0"/>
              <w:rPr>
                <w:rFonts w:cstheme="minorHAnsi"/>
                <w:sz w:val="20"/>
                <w:szCs w:val="20"/>
              </w:rPr>
            </w:pPr>
            <w:r w:rsidRPr="00436535">
              <w:rPr>
                <w:rFonts w:cstheme="minorHAnsi"/>
                <w:sz w:val="20"/>
                <w:szCs w:val="20"/>
              </w:rPr>
              <w:t xml:space="preserve">1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71DA99CF" w14:textId="77777777" w:rsidR="007C53FD" w:rsidRPr="00436535" w:rsidRDefault="007C53FD" w:rsidP="004D40F9">
            <w:pPr>
              <w:pStyle w:val="ListParagraph"/>
              <w:ind w:left="0"/>
              <w:rPr>
                <w:rFonts w:cstheme="minorHAnsi"/>
                <w:sz w:val="20"/>
                <w:szCs w:val="20"/>
              </w:rPr>
            </w:pPr>
          </w:p>
        </w:tc>
      </w:tr>
      <w:tr w:rsidR="007C53FD" w:rsidRPr="006E751A" w14:paraId="0DABA0FA" w14:textId="77777777" w:rsidTr="00604541">
        <w:tc>
          <w:tcPr>
            <w:tcW w:w="977" w:type="dxa"/>
          </w:tcPr>
          <w:p w14:paraId="61E51C57" w14:textId="3CCC2ACE"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280</w:t>
            </w:r>
          </w:p>
        </w:tc>
        <w:tc>
          <w:tcPr>
            <w:tcW w:w="1903" w:type="dxa"/>
          </w:tcPr>
          <w:p w14:paraId="2D7D1E48" w14:textId="3E2C3CF4"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1WALK</w:t>
            </w:r>
          </w:p>
        </w:tc>
        <w:tc>
          <w:tcPr>
            <w:tcW w:w="5788" w:type="dxa"/>
          </w:tcPr>
          <w:p w14:paraId="33FF807B" w14:textId="23EE87A8"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6BF0BDBB" w14:textId="77777777" w:rsidR="007C53FD" w:rsidRPr="00436535" w:rsidRDefault="007C53FD" w:rsidP="004D40F9">
            <w:pPr>
              <w:pStyle w:val="ListParagraph"/>
              <w:ind w:left="0"/>
              <w:rPr>
                <w:rFonts w:cstheme="minorHAnsi"/>
                <w:sz w:val="20"/>
                <w:szCs w:val="20"/>
              </w:rPr>
            </w:pPr>
          </w:p>
        </w:tc>
      </w:tr>
      <w:tr w:rsidR="007C53FD" w:rsidRPr="006E751A" w14:paraId="241EF165" w14:textId="77777777" w:rsidTr="00604541">
        <w:tc>
          <w:tcPr>
            <w:tcW w:w="977" w:type="dxa"/>
          </w:tcPr>
          <w:p w14:paraId="702156B1" w14:textId="5E726178"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281</w:t>
            </w:r>
          </w:p>
        </w:tc>
        <w:tc>
          <w:tcPr>
            <w:tcW w:w="1903" w:type="dxa"/>
          </w:tcPr>
          <w:p w14:paraId="4A07C973" w14:textId="027C50F0" w:rsidR="007C53FD" w:rsidRPr="00436535" w:rsidRDefault="007C53FD" w:rsidP="0040750C">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3WALK</w:t>
            </w:r>
          </w:p>
        </w:tc>
        <w:tc>
          <w:tcPr>
            <w:tcW w:w="5788" w:type="dxa"/>
          </w:tcPr>
          <w:p w14:paraId="27C81214" w14:textId="7EDD679C"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416A3FD0" w14:textId="77777777" w:rsidR="007C53FD" w:rsidRPr="00436535" w:rsidRDefault="007C53FD" w:rsidP="004D40F9">
            <w:pPr>
              <w:pStyle w:val="ListParagraph"/>
              <w:ind w:left="0"/>
              <w:rPr>
                <w:rFonts w:cstheme="minorHAnsi"/>
                <w:sz w:val="20"/>
                <w:szCs w:val="20"/>
              </w:rPr>
            </w:pPr>
          </w:p>
        </w:tc>
      </w:tr>
      <w:tr w:rsidR="007C53FD" w:rsidRPr="006E751A" w14:paraId="09F32952" w14:textId="77777777" w:rsidTr="00604541">
        <w:tc>
          <w:tcPr>
            <w:tcW w:w="977" w:type="dxa"/>
          </w:tcPr>
          <w:p w14:paraId="48DC636E" w14:textId="0EDCD11F"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282</w:t>
            </w:r>
          </w:p>
        </w:tc>
        <w:tc>
          <w:tcPr>
            <w:tcW w:w="1903" w:type="dxa"/>
          </w:tcPr>
          <w:p w14:paraId="49DF5ABD" w14:textId="139EAC9F"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3WALK</w:t>
            </w:r>
          </w:p>
        </w:tc>
        <w:tc>
          <w:tcPr>
            <w:tcW w:w="5788" w:type="dxa"/>
          </w:tcPr>
          <w:p w14:paraId="18A8CE18" w14:textId="2E407A44"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number of facilities per square mile.</w:t>
            </w:r>
          </w:p>
        </w:tc>
        <w:tc>
          <w:tcPr>
            <w:tcW w:w="1952" w:type="dxa"/>
          </w:tcPr>
          <w:p w14:paraId="1EF7227F" w14:textId="77777777" w:rsidR="007C53FD" w:rsidRPr="00436535" w:rsidRDefault="007C53FD" w:rsidP="004D40F9">
            <w:pPr>
              <w:pStyle w:val="ListParagraph"/>
              <w:ind w:left="0"/>
              <w:rPr>
                <w:rFonts w:cstheme="minorHAnsi"/>
                <w:sz w:val="20"/>
                <w:szCs w:val="20"/>
              </w:rPr>
            </w:pPr>
          </w:p>
        </w:tc>
      </w:tr>
      <w:tr w:rsidR="007C53FD" w:rsidRPr="006E751A" w14:paraId="13BF2D88" w14:textId="77777777" w:rsidTr="00604541">
        <w:tc>
          <w:tcPr>
            <w:tcW w:w="977" w:type="dxa"/>
          </w:tcPr>
          <w:p w14:paraId="25C777F2" w14:textId="484F5912"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283</w:t>
            </w:r>
          </w:p>
        </w:tc>
        <w:tc>
          <w:tcPr>
            <w:tcW w:w="1903" w:type="dxa"/>
          </w:tcPr>
          <w:p w14:paraId="70513A7B" w14:textId="09A0F867" w:rsidR="007C53FD" w:rsidRPr="00436535" w:rsidRDefault="007C53FD" w:rsidP="0040750C">
            <w:pPr>
              <w:tabs>
                <w:tab w:val="center" w:pos="6480"/>
              </w:tabs>
              <w:autoSpaceDE w:val="0"/>
              <w:autoSpaceDN w:val="0"/>
              <w:adjustRightInd w:val="0"/>
              <w:rPr>
                <w:rFonts w:cstheme="minorHAnsi"/>
                <w:sz w:val="20"/>
                <w:szCs w:val="20"/>
              </w:rPr>
            </w:pPr>
            <w:r>
              <w:rPr>
                <w:rFonts w:cstheme="minorHAnsi"/>
                <w:sz w:val="20"/>
                <w:szCs w:val="20"/>
              </w:rPr>
              <w:t>S0WALK</w:t>
            </w:r>
          </w:p>
        </w:tc>
        <w:tc>
          <w:tcPr>
            <w:tcW w:w="5788" w:type="dxa"/>
          </w:tcPr>
          <w:p w14:paraId="773D6A08" w14:textId="100C48EC" w:rsidR="007C53FD" w:rsidRPr="00436535" w:rsidRDefault="007C53FD" w:rsidP="007C53FD">
            <w:pPr>
              <w:tabs>
                <w:tab w:val="center" w:pos="6480"/>
              </w:tabs>
              <w:autoSpaceDE w:val="0"/>
              <w:autoSpaceDN w:val="0"/>
              <w:adjustRightInd w:val="0"/>
              <w:rPr>
                <w:rFonts w:cstheme="minorHAnsi"/>
                <w:sz w:val="20"/>
                <w:szCs w:val="20"/>
              </w:rPr>
            </w:pPr>
            <w:r w:rsidRPr="00436535">
              <w:rPr>
                <w:rFonts w:cstheme="minorHAnsi"/>
                <w:sz w:val="20"/>
                <w:szCs w:val="20"/>
              </w:rPr>
              <w:t>1/</w:t>
            </w:r>
            <w:r>
              <w:rPr>
                <w:rFonts w:cstheme="minorHAnsi"/>
                <w:sz w:val="20"/>
                <w:szCs w:val="20"/>
              </w:rPr>
              <w:t>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A199D96" w14:textId="77777777" w:rsidR="007C53FD" w:rsidRPr="00436535" w:rsidRDefault="007C53FD" w:rsidP="004D40F9">
            <w:pPr>
              <w:pStyle w:val="ListParagraph"/>
              <w:ind w:left="0"/>
              <w:rPr>
                <w:rFonts w:cstheme="minorHAnsi"/>
                <w:sz w:val="20"/>
                <w:szCs w:val="20"/>
              </w:rPr>
            </w:pPr>
          </w:p>
        </w:tc>
      </w:tr>
      <w:tr w:rsidR="007C53FD" w:rsidRPr="006E751A" w14:paraId="161742A2" w14:textId="77777777" w:rsidTr="00604541">
        <w:tc>
          <w:tcPr>
            <w:tcW w:w="977" w:type="dxa"/>
          </w:tcPr>
          <w:p w14:paraId="0B5E67D6" w14:textId="2718D3F8"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284</w:t>
            </w:r>
          </w:p>
        </w:tc>
        <w:tc>
          <w:tcPr>
            <w:tcW w:w="1903" w:type="dxa"/>
          </w:tcPr>
          <w:p w14:paraId="3FC24426" w14:textId="32BCF3C7" w:rsidR="007C53FD" w:rsidRPr="00436535" w:rsidRDefault="007C53FD" w:rsidP="0040750C">
            <w:pPr>
              <w:tabs>
                <w:tab w:val="center" w:pos="6480"/>
              </w:tabs>
              <w:autoSpaceDE w:val="0"/>
              <w:autoSpaceDN w:val="0"/>
              <w:adjustRightInd w:val="0"/>
              <w:rPr>
                <w:rFonts w:cstheme="minorHAnsi"/>
                <w:sz w:val="20"/>
                <w:szCs w:val="20"/>
              </w:rPr>
            </w:pPr>
            <w:r>
              <w:rPr>
                <w:rFonts w:cstheme="minorHAnsi"/>
                <w:sz w:val="20"/>
                <w:szCs w:val="20"/>
              </w:rPr>
              <w:t>A_S0WALK</w:t>
            </w:r>
          </w:p>
        </w:tc>
        <w:tc>
          <w:tcPr>
            <w:tcW w:w="5788" w:type="dxa"/>
          </w:tcPr>
          <w:p w14:paraId="1ABD439E" w14:textId="16A3C4F4"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1/</w:t>
            </w:r>
            <w:r>
              <w:rPr>
                <w:rFonts w:cstheme="minorHAnsi"/>
                <w:sz w:val="20"/>
                <w:szCs w:val="20"/>
              </w:rPr>
              <w:t>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9D7C7C2" w14:textId="77777777" w:rsidR="007C53FD" w:rsidRPr="00436535" w:rsidRDefault="007C53FD" w:rsidP="004D40F9">
            <w:pPr>
              <w:pStyle w:val="ListParagraph"/>
              <w:ind w:left="0"/>
              <w:rPr>
                <w:rFonts w:cstheme="minorHAnsi"/>
                <w:sz w:val="20"/>
                <w:szCs w:val="20"/>
              </w:rPr>
            </w:pPr>
          </w:p>
        </w:tc>
      </w:tr>
      <w:tr w:rsidR="007C53FD" w:rsidRPr="006E751A" w14:paraId="57E6B7B6" w14:textId="77777777" w:rsidTr="00604541">
        <w:tc>
          <w:tcPr>
            <w:tcW w:w="977" w:type="dxa"/>
          </w:tcPr>
          <w:p w14:paraId="04669065" w14:textId="7E888F0E"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285</w:t>
            </w:r>
          </w:p>
        </w:tc>
        <w:tc>
          <w:tcPr>
            <w:tcW w:w="1903" w:type="dxa"/>
          </w:tcPr>
          <w:p w14:paraId="6DBE281D" w14:textId="31F3BC0E"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S1WALK</w:t>
            </w:r>
          </w:p>
        </w:tc>
        <w:tc>
          <w:tcPr>
            <w:tcW w:w="5788" w:type="dxa"/>
          </w:tcPr>
          <w:p w14:paraId="3315CDEE" w14:textId="63C76EC1" w:rsidR="007C53FD" w:rsidRPr="00436535" w:rsidRDefault="007C53FD" w:rsidP="007C53FD">
            <w:pPr>
              <w:tabs>
                <w:tab w:val="center" w:pos="6480"/>
              </w:tabs>
              <w:autoSpaceDE w:val="0"/>
              <w:autoSpaceDN w:val="0"/>
              <w:adjustRightInd w:val="0"/>
              <w:rPr>
                <w:rFonts w:cstheme="minorHAnsi"/>
                <w:sz w:val="20"/>
                <w:szCs w:val="20"/>
              </w:rPr>
            </w:pP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668A04CA" w14:textId="77777777" w:rsidR="007C53FD" w:rsidRPr="00436535" w:rsidRDefault="007C53FD" w:rsidP="004D40F9">
            <w:pPr>
              <w:pStyle w:val="ListParagraph"/>
              <w:ind w:left="0"/>
              <w:rPr>
                <w:rFonts w:cstheme="minorHAnsi"/>
                <w:sz w:val="20"/>
                <w:szCs w:val="20"/>
              </w:rPr>
            </w:pPr>
          </w:p>
        </w:tc>
      </w:tr>
      <w:tr w:rsidR="007C53FD" w:rsidRPr="006E751A" w14:paraId="15423BB6" w14:textId="77777777" w:rsidTr="00604541">
        <w:tc>
          <w:tcPr>
            <w:tcW w:w="977" w:type="dxa"/>
          </w:tcPr>
          <w:p w14:paraId="0AB39DBE" w14:textId="57E5149B"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286</w:t>
            </w:r>
          </w:p>
        </w:tc>
        <w:tc>
          <w:tcPr>
            <w:tcW w:w="1903" w:type="dxa"/>
          </w:tcPr>
          <w:p w14:paraId="27B72577" w14:textId="71F45357"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A_S1WALK</w:t>
            </w:r>
          </w:p>
        </w:tc>
        <w:tc>
          <w:tcPr>
            <w:tcW w:w="5788" w:type="dxa"/>
          </w:tcPr>
          <w:p w14:paraId="38251CD9" w14:textId="5049F4D6"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 xml:space="preserve">Cumulative average of </w:t>
            </w:r>
            <w:r w:rsidRPr="00436535">
              <w:rPr>
                <w:rFonts w:cstheme="minorHAnsi"/>
                <w:sz w:val="20"/>
                <w:szCs w:val="20"/>
              </w:rPr>
              <w:t xml:space="preserve">1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02D089C7" w14:textId="77777777" w:rsidR="007C53FD" w:rsidRPr="00436535" w:rsidRDefault="007C53FD" w:rsidP="004D40F9">
            <w:pPr>
              <w:pStyle w:val="ListParagraph"/>
              <w:ind w:left="0"/>
              <w:rPr>
                <w:rFonts w:cstheme="minorHAnsi"/>
                <w:sz w:val="20"/>
                <w:szCs w:val="20"/>
              </w:rPr>
            </w:pPr>
          </w:p>
        </w:tc>
      </w:tr>
      <w:tr w:rsidR="007C53FD" w:rsidRPr="006E751A" w14:paraId="4F9F17B4" w14:textId="77777777" w:rsidTr="00604541">
        <w:tc>
          <w:tcPr>
            <w:tcW w:w="977" w:type="dxa"/>
          </w:tcPr>
          <w:p w14:paraId="26EDF121" w14:textId="0A545634"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287</w:t>
            </w:r>
          </w:p>
        </w:tc>
        <w:tc>
          <w:tcPr>
            <w:tcW w:w="1903" w:type="dxa"/>
          </w:tcPr>
          <w:p w14:paraId="11484CFE" w14:textId="54D9F51E"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S3WALK</w:t>
            </w:r>
          </w:p>
        </w:tc>
        <w:tc>
          <w:tcPr>
            <w:tcW w:w="5788" w:type="dxa"/>
          </w:tcPr>
          <w:p w14:paraId="1DBE6320" w14:textId="592CA14A"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BED749B" w14:textId="77777777" w:rsidR="007C53FD" w:rsidRPr="00436535" w:rsidRDefault="007C53FD" w:rsidP="004D40F9">
            <w:pPr>
              <w:pStyle w:val="ListParagraph"/>
              <w:ind w:left="0"/>
              <w:rPr>
                <w:rFonts w:cstheme="minorHAnsi"/>
                <w:sz w:val="20"/>
                <w:szCs w:val="20"/>
              </w:rPr>
            </w:pPr>
          </w:p>
        </w:tc>
      </w:tr>
      <w:tr w:rsidR="007C53FD" w:rsidRPr="006E751A" w14:paraId="731B36DF" w14:textId="77777777" w:rsidTr="00604541">
        <w:tc>
          <w:tcPr>
            <w:tcW w:w="977" w:type="dxa"/>
          </w:tcPr>
          <w:p w14:paraId="0918EF17" w14:textId="607BBED6"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288</w:t>
            </w:r>
          </w:p>
        </w:tc>
        <w:tc>
          <w:tcPr>
            <w:tcW w:w="1903" w:type="dxa"/>
          </w:tcPr>
          <w:p w14:paraId="1C990160" w14:textId="203488B3"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A_S3WALK</w:t>
            </w:r>
          </w:p>
        </w:tc>
        <w:tc>
          <w:tcPr>
            <w:tcW w:w="5788" w:type="dxa"/>
          </w:tcPr>
          <w:p w14:paraId="34D6864F" w14:textId="09021FA9"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popular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number of facilities per square mile.</w:t>
            </w:r>
          </w:p>
        </w:tc>
        <w:tc>
          <w:tcPr>
            <w:tcW w:w="1952" w:type="dxa"/>
          </w:tcPr>
          <w:p w14:paraId="24EB54A6" w14:textId="77777777" w:rsidR="007C53FD" w:rsidRPr="00436535" w:rsidRDefault="007C53FD" w:rsidP="004D40F9">
            <w:pPr>
              <w:pStyle w:val="ListParagraph"/>
              <w:ind w:left="0"/>
              <w:rPr>
                <w:rFonts w:cstheme="minorHAnsi"/>
                <w:sz w:val="20"/>
                <w:szCs w:val="20"/>
              </w:rPr>
            </w:pPr>
          </w:p>
        </w:tc>
      </w:tr>
      <w:tr w:rsidR="007C53FD" w:rsidRPr="006E751A" w14:paraId="033AE292" w14:textId="77777777" w:rsidTr="00604541">
        <w:tc>
          <w:tcPr>
            <w:tcW w:w="977" w:type="dxa"/>
          </w:tcPr>
          <w:p w14:paraId="069FE1BE" w14:textId="06550F8E" w:rsidR="007C53FD" w:rsidRDefault="007C53FD" w:rsidP="007C53FD">
            <w:pPr>
              <w:tabs>
                <w:tab w:val="center" w:pos="6480"/>
              </w:tabs>
              <w:autoSpaceDE w:val="0"/>
              <w:autoSpaceDN w:val="0"/>
              <w:adjustRightInd w:val="0"/>
              <w:rPr>
                <w:rFonts w:cs="SAS Monospace"/>
                <w:sz w:val="20"/>
                <w:szCs w:val="20"/>
              </w:rPr>
            </w:pPr>
            <w:r>
              <w:rPr>
                <w:rFonts w:cs="SAS Monospace"/>
                <w:sz w:val="20"/>
                <w:szCs w:val="20"/>
              </w:rPr>
              <w:t>289</w:t>
            </w:r>
          </w:p>
        </w:tc>
        <w:tc>
          <w:tcPr>
            <w:tcW w:w="1903" w:type="dxa"/>
          </w:tcPr>
          <w:p w14:paraId="3EA3E06F" w14:textId="54E9F488"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ASDWALK</w:t>
            </w:r>
          </w:p>
        </w:tc>
        <w:tc>
          <w:tcPr>
            <w:tcW w:w="5788" w:type="dxa"/>
          </w:tcPr>
          <w:p w14:paraId="2FE5D4D2" w14:textId="2B371209" w:rsidR="007C53FD" w:rsidRPr="00436535" w:rsidRDefault="007C53FD" w:rsidP="007C53FD">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popular walking destinations (meters)</w:t>
            </w:r>
            <w:r w:rsidRPr="00436535">
              <w:rPr>
                <w:rFonts w:cstheme="minorHAnsi"/>
                <w:sz w:val="20"/>
                <w:szCs w:val="20"/>
              </w:rPr>
              <w:t>.</w:t>
            </w:r>
          </w:p>
        </w:tc>
        <w:tc>
          <w:tcPr>
            <w:tcW w:w="1952" w:type="dxa"/>
          </w:tcPr>
          <w:p w14:paraId="1F22559B" w14:textId="77777777" w:rsidR="007C53FD" w:rsidRPr="00436535" w:rsidRDefault="007C53FD" w:rsidP="004D40F9">
            <w:pPr>
              <w:pStyle w:val="ListParagraph"/>
              <w:ind w:left="0"/>
              <w:rPr>
                <w:rFonts w:cstheme="minorHAnsi"/>
                <w:sz w:val="20"/>
                <w:szCs w:val="20"/>
              </w:rPr>
            </w:pPr>
          </w:p>
        </w:tc>
      </w:tr>
      <w:tr w:rsidR="000B635D" w:rsidRPr="006E751A" w14:paraId="314D6915" w14:textId="77777777" w:rsidTr="00604541">
        <w:tc>
          <w:tcPr>
            <w:tcW w:w="977" w:type="dxa"/>
          </w:tcPr>
          <w:p w14:paraId="0032F007" w14:textId="77777777" w:rsidR="000B635D" w:rsidRDefault="000B635D" w:rsidP="007C53FD">
            <w:pPr>
              <w:tabs>
                <w:tab w:val="center" w:pos="6480"/>
              </w:tabs>
              <w:autoSpaceDE w:val="0"/>
              <w:autoSpaceDN w:val="0"/>
              <w:adjustRightInd w:val="0"/>
              <w:rPr>
                <w:rFonts w:cs="SAS Monospace"/>
                <w:sz w:val="20"/>
                <w:szCs w:val="20"/>
              </w:rPr>
            </w:pPr>
          </w:p>
        </w:tc>
        <w:tc>
          <w:tcPr>
            <w:tcW w:w="1903" w:type="dxa"/>
          </w:tcPr>
          <w:p w14:paraId="3D2EFB2F" w14:textId="77777777" w:rsidR="000B635D" w:rsidRPr="00436535" w:rsidRDefault="000B635D" w:rsidP="007C53FD">
            <w:pPr>
              <w:tabs>
                <w:tab w:val="center" w:pos="6480"/>
              </w:tabs>
              <w:autoSpaceDE w:val="0"/>
              <w:autoSpaceDN w:val="0"/>
              <w:adjustRightInd w:val="0"/>
              <w:rPr>
                <w:rFonts w:cstheme="minorHAnsi"/>
                <w:sz w:val="20"/>
                <w:szCs w:val="20"/>
              </w:rPr>
            </w:pPr>
          </w:p>
        </w:tc>
        <w:tc>
          <w:tcPr>
            <w:tcW w:w="5788" w:type="dxa"/>
          </w:tcPr>
          <w:p w14:paraId="4E670E38" w14:textId="77777777" w:rsidR="000B635D" w:rsidRDefault="000B635D" w:rsidP="00DD3C53">
            <w:pPr>
              <w:tabs>
                <w:tab w:val="center" w:pos="6480"/>
              </w:tabs>
              <w:autoSpaceDE w:val="0"/>
              <w:autoSpaceDN w:val="0"/>
              <w:adjustRightInd w:val="0"/>
              <w:rPr>
                <w:rFonts w:cstheme="minorHAnsi"/>
                <w:sz w:val="20"/>
                <w:szCs w:val="20"/>
              </w:rPr>
            </w:pPr>
          </w:p>
        </w:tc>
        <w:tc>
          <w:tcPr>
            <w:tcW w:w="1952" w:type="dxa"/>
          </w:tcPr>
          <w:p w14:paraId="629961E5" w14:textId="77777777" w:rsidR="000B635D" w:rsidRPr="00436535" w:rsidRDefault="000B635D" w:rsidP="004D40F9">
            <w:pPr>
              <w:pStyle w:val="ListParagraph"/>
              <w:ind w:left="0"/>
              <w:rPr>
                <w:rFonts w:cstheme="minorHAnsi"/>
                <w:sz w:val="20"/>
                <w:szCs w:val="20"/>
              </w:rPr>
            </w:pPr>
          </w:p>
        </w:tc>
      </w:tr>
      <w:tr w:rsidR="000B635D" w:rsidRPr="006E751A" w14:paraId="71192EAB" w14:textId="77777777" w:rsidTr="00474F7E">
        <w:tc>
          <w:tcPr>
            <w:tcW w:w="10620" w:type="dxa"/>
            <w:gridSpan w:val="4"/>
          </w:tcPr>
          <w:p w14:paraId="2C8478C0" w14:textId="585DC5BB" w:rsidR="000B635D" w:rsidRPr="000B635D" w:rsidRDefault="000B635D" w:rsidP="004D40F9">
            <w:pPr>
              <w:pStyle w:val="ListParagraph"/>
              <w:ind w:left="0"/>
              <w:rPr>
                <w:rFonts w:cstheme="minorHAnsi"/>
                <w:b/>
                <w:sz w:val="20"/>
                <w:szCs w:val="20"/>
              </w:rPr>
            </w:pPr>
            <w:r w:rsidRPr="000B635D">
              <w:rPr>
                <w:rFonts w:cs="SAS Monospace"/>
                <w:b/>
                <w:sz w:val="20"/>
                <w:szCs w:val="20"/>
              </w:rPr>
              <w:t>TOTAL STORES</w:t>
            </w:r>
          </w:p>
        </w:tc>
      </w:tr>
      <w:tr w:rsidR="00DD3C53" w:rsidRPr="006E751A" w14:paraId="563280ED" w14:textId="77777777" w:rsidTr="00604541">
        <w:tc>
          <w:tcPr>
            <w:tcW w:w="977" w:type="dxa"/>
          </w:tcPr>
          <w:p w14:paraId="73A8CAD1" w14:textId="6A88E534"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290</w:t>
            </w:r>
          </w:p>
        </w:tc>
        <w:tc>
          <w:tcPr>
            <w:tcW w:w="1903" w:type="dxa"/>
          </w:tcPr>
          <w:p w14:paraId="2D79AB83" w14:textId="7A548CD8" w:rsidR="00DD3C53" w:rsidRDefault="00DD3C53" w:rsidP="007C53FD">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0TOTSTR</w:t>
            </w:r>
          </w:p>
        </w:tc>
        <w:tc>
          <w:tcPr>
            <w:tcW w:w="5788" w:type="dxa"/>
          </w:tcPr>
          <w:p w14:paraId="2FB59689" w14:textId="1AB87BEF"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645CC65B" w14:textId="77777777" w:rsidR="00DD3C53" w:rsidRPr="00436535" w:rsidRDefault="00DD3C53" w:rsidP="004D40F9">
            <w:pPr>
              <w:pStyle w:val="ListParagraph"/>
              <w:ind w:left="0"/>
              <w:rPr>
                <w:rFonts w:cstheme="minorHAnsi"/>
                <w:sz w:val="20"/>
                <w:szCs w:val="20"/>
              </w:rPr>
            </w:pPr>
          </w:p>
        </w:tc>
      </w:tr>
      <w:tr w:rsidR="00DD3C53" w:rsidRPr="006E751A" w14:paraId="2ADA5286" w14:textId="77777777" w:rsidTr="00604541">
        <w:tc>
          <w:tcPr>
            <w:tcW w:w="977" w:type="dxa"/>
          </w:tcPr>
          <w:p w14:paraId="4E0A1CEA" w14:textId="2071BB94"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291</w:t>
            </w:r>
          </w:p>
        </w:tc>
        <w:tc>
          <w:tcPr>
            <w:tcW w:w="1903" w:type="dxa"/>
          </w:tcPr>
          <w:p w14:paraId="75042767" w14:textId="4635E2E6" w:rsidR="00DD3C53" w:rsidRPr="00436535" w:rsidRDefault="00DD3C53" w:rsidP="007C53FD">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0TOTSTR</w:t>
            </w:r>
          </w:p>
        </w:tc>
        <w:tc>
          <w:tcPr>
            <w:tcW w:w="5788" w:type="dxa"/>
          </w:tcPr>
          <w:p w14:paraId="3B6897EC" w14:textId="1C4E6BFF"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36991C2A" w14:textId="77777777" w:rsidR="00DD3C53" w:rsidRPr="00436535" w:rsidRDefault="00DD3C53" w:rsidP="004D40F9">
            <w:pPr>
              <w:pStyle w:val="ListParagraph"/>
              <w:ind w:left="0"/>
              <w:rPr>
                <w:rFonts w:cstheme="minorHAnsi"/>
                <w:sz w:val="20"/>
                <w:szCs w:val="20"/>
              </w:rPr>
            </w:pPr>
          </w:p>
        </w:tc>
      </w:tr>
      <w:tr w:rsidR="00DD3C53" w:rsidRPr="006E751A" w14:paraId="75F710FC" w14:textId="77777777" w:rsidTr="00604541">
        <w:tc>
          <w:tcPr>
            <w:tcW w:w="977" w:type="dxa"/>
          </w:tcPr>
          <w:p w14:paraId="4789BEA7" w14:textId="2084A25B"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292</w:t>
            </w:r>
          </w:p>
        </w:tc>
        <w:tc>
          <w:tcPr>
            <w:tcW w:w="1903" w:type="dxa"/>
          </w:tcPr>
          <w:p w14:paraId="0A63E264" w14:textId="1B7E7ACE" w:rsidR="00DD3C53" w:rsidRDefault="00DD3C53" w:rsidP="00DD3C5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1TOTSTR</w:t>
            </w:r>
          </w:p>
        </w:tc>
        <w:tc>
          <w:tcPr>
            <w:tcW w:w="5788" w:type="dxa"/>
          </w:tcPr>
          <w:p w14:paraId="34F0C203" w14:textId="6D2861E6"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t>
            </w:r>
            <w:r>
              <w:rPr>
                <w:rFonts w:cstheme="minorHAnsi"/>
                <w:sz w:val="20"/>
                <w:szCs w:val="20"/>
              </w:rPr>
              <w:lastRenderedPageBreak/>
              <w:t xml:space="preserve">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134FC2F6" w14:textId="77777777" w:rsidR="00DD3C53" w:rsidRPr="00436535" w:rsidRDefault="00DD3C53" w:rsidP="004D40F9">
            <w:pPr>
              <w:pStyle w:val="ListParagraph"/>
              <w:ind w:left="0"/>
              <w:rPr>
                <w:rFonts w:cstheme="minorHAnsi"/>
                <w:sz w:val="20"/>
                <w:szCs w:val="20"/>
              </w:rPr>
            </w:pPr>
          </w:p>
        </w:tc>
      </w:tr>
      <w:tr w:rsidR="00DD3C53" w:rsidRPr="006E751A" w14:paraId="60C493E0" w14:textId="77777777" w:rsidTr="00604541">
        <w:tc>
          <w:tcPr>
            <w:tcW w:w="977" w:type="dxa"/>
          </w:tcPr>
          <w:p w14:paraId="4A787896" w14:textId="1B553675"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lastRenderedPageBreak/>
              <w:t>293</w:t>
            </w:r>
          </w:p>
        </w:tc>
        <w:tc>
          <w:tcPr>
            <w:tcW w:w="1903" w:type="dxa"/>
          </w:tcPr>
          <w:p w14:paraId="0AB6E764" w14:textId="70AA83B2" w:rsidR="00DD3C53" w:rsidRPr="00436535" w:rsidRDefault="00DD3C53" w:rsidP="00DD3C5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1TOTSTR</w:t>
            </w:r>
          </w:p>
        </w:tc>
        <w:tc>
          <w:tcPr>
            <w:tcW w:w="5788" w:type="dxa"/>
          </w:tcPr>
          <w:p w14:paraId="25D79317" w14:textId="69243680"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5A328FD4" w14:textId="77777777" w:rsidR="00DD3C53" w:rsidRPr="00436535" w:rsidRDefault="00DD3C53" w:rsidP="004D40F9">
            <w:pPr>
              <w:pStyle w:val="ListParagraph"/>
              <w:ind w:left="0"/>
              <w:rPr>
                <w:rFonts w:cstheme="minorHAnsi"/>
                <w:sz w:val="20"/>
                <w:szCs w:val="20"/>
              </w:rPr>
            </w:pPr>
          </w:p>
        </w:tc>
      </w:tr>
      <w:tr w:rsidR="00DD3C53" w:rsidRPr="006E751A" w14:paraId="7867EEB4" w14:textId="77777777" w:rsidTr="00604541">
        <w:tc>
          <w:tcPr>
            <w:tcW w:w="977" w:type="dxa"/>
          </w:tcPr>
          <w:p w14:paraId="25291821" w14:textId="7855D94B"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294</w:t>
            </w:r>
          </w:p>
        </w:tc>
        <w:tc>
          <w:tcPr>
            <w:tcW w:w="1903" w:type="dxa"/>
          </w:tcPr>
          <w:p w14:paraId="348F6050" w14:textId="6164EE50" w:rsidR="00DD3C53" w:rsidRDefault="00DD3C53" w:rsidP="00DD3C53">
            <w:pPr>
              <w:tabs>
                <w:tab w:val="center" w:pos="6480"/>
              </w:tabs>
              <w:autoSpaceDE w:val="0"/>
              <w:autoSpaceDN w:val="0"/>
              <w:adjustRightInd w:val="0"/>
              <w:rPr>
                <w:rFonts w:cstheme="minorHAnsi"/>
                <w:sz w:val="20"/>
                <w:szCs w:val="20"/>
              </w:rPr>
            </w:pPr>
            <w:r w:rsidRPr="00436535">
              <w:rPr>
                <w:rFonts w:cstheme="minorHAnsi"/>
                <w:sz w:val="20"/>
                <w:szCs w:val="20"/>
              </w:rPr>
              <w:t>K</w:t>
            </w:r>
            <w:r>
              <w:rPr>
                <w:rFonts w:cstheme="minorHAnsi"/>
                <w:sz w:val="20"/>
                <w:szCs w:val="20"/>
              </w:rPr>
              <w:t>3TOTSTR</w:t>
            </w:r>
          </w:p>
        </w:tc>
        <w:tc>
          <w:tcPr>
            <w:tcW w:w="5788" w:type="dxa"/>
          </w:tcPr>
          <w:p w14:paraId="7B6EAAFC" w14:textId="07A6F9DE"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5FA28227" w14:textId="77777777" w:rsidR="00DD3C53" w:rsidRPr="00436535" w:rsidRDefault="00DD3C53" w:rsidP="004D40F9">
            <w:pPr>
              <w:pStyle w:val="ListParagraph"/>
              <w:ind w:left="0"/>
              <w:rPr>
                <w:rFonts w:cstheme="minorHAnsi"/>
                <w:sz w:val="20"/>
                <w:szCs w:val="20"/>
              </w:rPr>
            </w:pPr>
          </w:p>
        </w:tc>
      </w:tr>
      <w:tr w:rsidR="00DD3C53" w:rsidRPr="006E751A" w14:paraId="32E4A2AC" w14:textId="77777777" w:rsidTr="00604541">
        <w:tc>
          <w:tcPr>
            <w:tcW w:w="977" w:type="dxa"/>
          </w:tcPr>
          <w:p w14:paraId="0DE52538" w14:textId="107E0B69"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295</w:t>
            </w:r>
          </w:p>
        </w:tc>
        <w:tc>
          <w:tcPr>
            <w:tcW w:w="1903" w:type="dxa"/>
          </w:tcPr>
          <w:p w14:paraId="2AD192C9" w14:textId="34CADF1A" w:rsidR="00DD3C53" w:rsidRPr="00436535" w:rsidRDefault="00DD3C53" w:rsidP="00DD3C53">
            <w:pPr>
              <w:tabs>
                <w:tab w:val="center" w:pos="6480"/>
              </w:tabs>
              <w:autoSpaceDE w:val="0"/>
              <w:autoSpaceDN w:val="0"/>
              <w:adjustRightInd w:val="0"/>
              <w:rPr>
                <w:rFonts w:cstheme="minorHAnsi"/>
                <w:sz w:val="20"/>
                <w:szCs w:val="20"/>
              </w:rPr>
            </w:pPr>
            <w:r>
              <w:rPr>
                <w:rFonts w:cstheme="minorHAnsi"/>
                <w:sz w:val="20"/>
                <w:szCs w:val="20"/>
              </w:rPr>
              <w:t>A_</w:t>
            </w:r>
            <w:r w:rsidRPr="00436535">
              <w:rPr>
                <w:rFonts w:cstheme="minorHAnsi"/>
                <w:sz w:val="20"/>
                <w:szCs w:val="20"/>
              </w:rPr>
              <w:t>K</w:t>
            </w:r>
            <w:r>
              <w:rPr>
                <w:rFonts w:cstheme="minorHAnsi"/>
                <w:sz w:val="20"/>
                <w:szCs w:val="20"/>
              </w:rPr>
              <w:t>3TOTSTR</w:t>
            </w:r>
          </w:p>
        </w:tc>
        <w:tc>
          <w:tcPr>
            <w:tcW w:w="5788" w:type="dxa"/>
          </w:tcPr>
          <w:p w14:paraId="44F900C3" w14:textId="5CD3B2AD"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kernel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a weighted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1F9F0738" w14:textId="77777777" w:rsidR="00DD3C53" w:rsidRPr="00436535" w:rsidRDefault="00DD3C53" w:rsidP="004D40F9">
            <w:pPr>
              <w:pStyle w:val="ListParagraph"/>
              <w:ind w:left="0"/>
              <w:rPr>
                <w:rFonts w:cstheme="minorHAnsi"/>
                <w:sz w:val="20"/>
                <w:szCs w:val="20"/>
              </w:rPr>
            </w:pPr>
          </w:p>
        </w:tc>
      </w:tr>
      <w:tr w:rsidR="00DD3C53" w:rsidRPr="006E751A" w14:paraId="38D72D29" w14:textId="77777777" w:rsidTr="00604541">
        <w:tc>
          <w:tcPr>
            <w:tcW w:w="977" w:type="dxa"/>
          </w:tcPr>
          <w:p w14:paraId="688C2952" w14:textId="55201F95"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296</w:t>
            </w:r>
          </w:p>
        </w:tc>
        <w:tc>
          <w:tcPr>
            <w:tcW w:w="1903" w:type="dxa"/>
          </w:tcPr>
          <w:p w14:paraId="641A13DE" w14:textId="07BAD5C2"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S0TOTSTR</w:t>
            </w:r>
          </w:p>
        </w:tc>
        <w:tc>
          <w:tcPr>
            <w:tcW w:w="5788" w:type="dxa"/>
          </w:tcPr>
          <w:p w14:paraId="577906C3" w14:textId="2BA21FB9"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1/2</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59053BE2" w14:textId="77777777" w:rsidR="00DD3C53" w:rsidRPr="00436535" w:rsidRDefault="00DD3C53" w:rsidP="004D40F9">
            <w:pPr>
              <w:pStyle w:val="ListParagraph"/>
              <w:ind w:left="0"/>
              <w:rPr>
                <w:rFonts w:cstheme="minorHAnsi"/>
                <w:sz w:val="20"/>
                <w:szCs w:val="20"/>
              </w:rPr>
            </w:pPr>
          </w:p>
        </w:tc>
      </w:tr>
      <w:tr w:rsidR="00DD3C53" w:rsidRPr="006E751A" w14:paraId="2B765895" w14:textId="77777777" w:rsidTr="00604541">
        <w:tc>
          <w:tcPr>
            <w:tcW w:w="977" w:type="dxa"/>
          </w:tcPr>
          <w:p w14:paraId="7FCCF950" w14:textId="5FD393F8"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297</w:t>
            </w:r>
          </w:p>
        </w:tc>
        <w:tc>
          <w:tcPr>
            <w:tcW w:w="1903" w:type="dxa"/>
          </w:tcPr>
          <w:p w14:paraId="75856F44" w14:textId="1712C163" w:rsidR="00DD3C53" w:rsidRPr="00436535" w:rsidRDefault="00DD3C53" w:rsidP="00DD3C53">
            <w:pPr>
              <w:tabs>
                <w:tab w:val="center" w:pos="6480"/>
              </w:tabs>
              <w:autoSpaceDE w:val="0"/>
              <w:autoSpaceDN w:val="0"/>
              <w:adjustRightInd w:val="0"/>
              <w:rPr>
                <w:rFonts w:cstheme="minorHAnsi"/>
                <w:sz w:val="20"/>
                <w:szCs w:val="20"/>
              </w:rPr>
            </w:pPr>
            <w:r>
              <w:rPr>
                <w:rFonts w:cstheme="minorHAnsi"/>
                <w:sz w:val="20"/>
                <w:szCs w:val="20"/>
              </w:rPr>
              <w:t>A_S0TOTSTR</w:t>
            </w:r>
          </w:p>
        </w:tc>
        <w:tc>
          <w:tcPr>
            <w:tcW w:w="5788" w:type="dxa"/>
          </w:tcPr>
          <w:p w14:paraId="1B0A71A0" w14:textId="2A5D2800"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1/2</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7AB5CC95" w14:textId="77777777" w:rsidR="00DD3C53" w:rsidRPr="00436535" w:rsidRDefault="00DD3C53" w:rsidP="004D40F9">
            <w:pPr>
              <w:pStyle w:val="ListParagraph"/>
              <w:ind w:left="0"/>
              <w:rPr>
                <w:rFonts w:cstheme="minorHAnsi"/>
                <w:sz w:val="20"/>
                <w:szCs w:val="20"/>
              </w:rPr>
            </w:pPr>
          </w:p>
        </w:tc>
      </w:tr>
      <w:tr w:rsidR="00DD3C53" w:rsidRPr="006E751A" w14:paraId="3B8EB7A4" w14:textId="77777777" w:rsidTr="00604541">
        <w:tc>
          <w:tcPr>
            <w:tcW w:w="977" w:type="dxa"/>
          </w:tcPr>
          <w:p w14:paraId="35DA5A67" w14:textId="6CB72E27"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298</w:t>
            </w:r>
          </w:p>
        </w:tc>
        <w:tc>
          <w:tcPr>
            <w:tcW w:w="1903" w:type="dxa"/>
          </w:tcPr>
          <w:p w14:paraId="14CB03E1" w14:textId="6C1EC0F5"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S1TOTSTR</w:t>
            </w:r>
          </w:p>
          <w:p w14:paraId="72DD709C" w14:textId="34360962" w:rsidR="00DD3C53" w:rsidRPr="00DD3C53" w:rsidRDefault="00DD3C53" w:rsidP="00DD3C53">
            <w:pPr>
              <w:tabs>
                <w:tab w:val="left" w:pos="1324"/>
              </w:tabs>
              <w:rPr>
                <w:rFonts w:cstheme="minorHAnsi"/>
                <w:sz w:val="20"/>
                <w:szCs w:val="20"/>
              </w:rPr>
            </w:pPr>
            <w:r>
              <w:rPr>
                <w:rFonts w:cstheme="minorHAnsi"/>
                <w:sz w:val="20"/>
                <w:szCs w:val="20"/>
              </w:rPr>
              <w:tab/>
            </w:r>
          </w:p>
        </w:tc>
        <w:tc>
          <w:tcPr>
            <w:tcW w:w="5788" w:type="dxa"/>
          </w:tcPr>
          <w:p w14:paraId="4B608CC7" w14:textId="76B9222C"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1</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5205976B" w14:textId="77777777" w:rsidR="00DD3C53" w:rsidRPr="00436535" w:rsidRDefault="00DD3C53" w:rsidP="004D40F9">
            <w:pPr>
              <w:pStyle w:val="ListParagraph"/>
              <w:ind w:left="0"/>
              <w:rPr>
                <w:rFonts w:cstheme="minorHAnsi"/>
                <w:sz w:val="20"/>
                <w:szCs w:val="20"/>
              </w:rPr>
            </w:pPr>
          </w:p>
        </w:tc>
      </w:tr>
      <w:tr w:rsidR="00DD3C53" w:rsidRPr="006E751A" w14:paraId="2024AA13" w14:textId="77777777" w:rsidTr="00604541">
        <w:tc>
          <w:tcPr>
            <w:tcW w:w="977" w:type="dxa"/>
          </w:tcPr>
          <w:p w14:paraId="51C665F5" w14:textId="4A726F33"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299</w:t>
            </w:r>
          </w:p>
        </w:tc>
        <w:tc>
          <w:tcPr>
            <w:tcW w:w="1903" w:type="dxa"/>
          </w:tcPr>
          <w:p w14:paraId="43423DDF" w14:textId="207119F6"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A_S1TOTSTR</w:t>
            </w:r>
          </w:p>
        </w:tc>
        <w:tc>
          <w:tcPr>
            <w:tcW w:w="5788" w:type="dxa"/>
          </w:tcPr>
          <w:p w14:paraId="5F4C73FE" w14:textId="1C57B746"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1</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130ACB44" w14:textId="77777777" w:rsidR="00DD3C53" w:rsidRPr="00436535" w:rsidRDefault="00DD3C53" w:rsidP="004D40F9">
            <w:pPr>
              <w:pStyle w:val="ListParagraph"/>
              <w:ind w:left="0"/>
              <w:rPr>
                <w:rFonts w:cstheme="minorHAnsi"/>
                <w:sz w:val="20"/>
                <w:szCs w:val="20"/>
              </w:rPr>
            </w:pPr>
          </w:p>
        </w:tc>
      </w:tr>
      <w:tr w:rsidR="00DD3C53" w:rsidRPr="006E751A" w14:paraId="03B67A51" w14:textId="77777777" w:rsidTr="00604541">
        <w:tc>
          <w:tcPr>
            <w:tcW w:w="977" w:type="dxa"/>
          </w:tcPr>
          <w:p w14:paraId="622F5C01" w14:textId="1681122D"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300</w:t>
            </w:r>
          </w:p>
        </w:tc>
        <w:tc>
          <w:tcPr>
            <w:tcW w:w="1903" w:type="dxa"/>
          </w:tcPr>
          <w:p w14:paraId="20CA87A0" w14:textId="5975EBDE" w:rsidR="00DD3C53" w:rsidRDefault="00DD3C53" w:rsidP="00D4068B">
            <w:pPr>
              <w:tabs>
                <w:tab w:val="center" w:pos="6480"/>
              </w:tabs>
              <w:autoSpaceDE w:val="0"/>
              <w:autoSpaceDN w:val="0"/>
              <w:adjustRightInd w:val="0"/>
              <w:rPr>
                <w:rFonts w:cstheme="minorHAnsi"/>
                <w:sz w:val="20"/>
                <w:szCs w:val="20"/>
              </w:rPr>
            </w:pPr>
            <w:r>
              <w:rPr>
                <w:rFonts w:cstheme="minorHAnsi"/>
                <w:sz w:val="20"/>
                <w:szCs w:val="20"/>
              </w:rPr>
              <w:t>S3TOTSTR</w:t>
            </w:r>
          </w:p>
          <w:p w14:paraId="4DE9847B" w14:textId="14C1D41A"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ab/>
            </w:r>
          </w:p>
        </w:tc>
        <w:tc>
          <w:tcPr>
            <w:tcW w:w="5788" w:type="dxa"/>
          </w:tcPr>
          <w:p w14:paraId="128C2EAA" w14:textId="6B1F494F"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3</w:t>
            </w:r>
            <w:r w:rsidRPr="00436535">
              <w:rPr>
                <w:rFonts w:cstheme="minorHAnsi"/>
                <w:sz w:val="20"/>
                <w:szCs w:val="20"/>
              </w:rPr>
              <w:t xml:space="preserve"> mile </w:t>
            </w:r>
            <w:r>
              <w:rPr>
                <w:rFonts w:cstheme="minorHAnsi"/>
                <w:sz w:val="20"/>
                <w:szCs w:val="20"/>
              </w:rPr>
              <w:t xml:space="preserve">simple </w:t>
            </w:r>
            <w:r w:rsidRPr="00436535">
              <w:rPr>
                <w:rFonts w:cstheme="minorHAnsi"/>
                <w:sz w:val="20"/>
                <w:szCs w:val="20"/>
              </w:rPr>
              <w:t xml:space="preserve">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26E6EA47" w14:textId="77777777" w:rsidR="00DD3C53" w:rsidRPr="00436535" w:rsidRDefault="00DD3C53" w:rsidP="004D40F9">
            <w:pPr>
              <w:pStyle w:val="ListParagraph"/>
              <w:ind w:left="0"/>
              <w:rPr>
                <w:rFonts w:cstheme="minorHAnsi"/>
                <w:sz w:val="20"/>
                <w:szCs w:val="20"/>
              </w:rPr>
            </w:pPr>
          </w:p>
        </w:tc>
      </w:tr>
      <w:tr w:rsidR="00DD3C53" w:rsidRPr="006E751A" w14:paraId="21766948" w14:textId="77777777" w:rsidTr="00604541">
        <w:tc>
          <w:tcPr>
            <w:tcW w:w="977" w:type="dxa"/>
          </w:tcPr>
          <w:p w14:paraId="19C311DD" w14:textId="70A317B2"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301</w:t>
            </w:r>
          </w:p>
        </w:tc>
        <w:tc>
          <w:tcPr>
            <w:tcW w:w="1903" w:type="dxa"/>
          </w:tcPr>
          <w:p w14:paraId="6B910F05" w14:textId="764EC039"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A_S3TOTSTR</w:t>
            </w:r>
          </w:p>
        </w:tc>
        <w:tc>
          <w:tcPr>
            <w:tcW w:w="5788" w:type="dxa"/>
          </w:tcPr>
          <w:p w14:paraId="36FA1473" w14:textId="495E18EA"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Cumulative average of 3</w:t>
            </w:r>
            <w:r w:rsidRPr="00436535">
              <w:rPr>
                <w:rFonts w:cstheme="minorHAnsi"/>
                <w:sz w:val="20"/>
                <w:szCs w:val="20"/>
              </w:rPr>
              <w:t xml:space="preserve"> mile </w:t>
            </w:r>
            <w:r>
              <w:rPr>
                <w:rFonts w:cstheme="minorHAnsi"/>
                <w:sz w:val="20"/>
                <w:szCs w:val="20"/>
              </w:rPr>
              <w:t>simple</w:t>
            </w:r>
            <w:r w:rsidRPr="00436535">
              <w:rPr>
                <w:rFonts w:cstheme="minorHAnsi"/>
                <w:sz w:val="20"/>
                <w:szCs w:val="20"/>
              </w:rPr>
              <w:t xml:space="preserve"> density </w:t>
            </w:r>
            <w:r>
              <w:rPr>
                <w:rFonts w:cstheme="minorHAnsi"/>
                <w:sz w:val="20"/>
                <w:szCs w:val="20"/>
              </w:rPr>
              <w:t>of total stores (food, physical activity, social engagement, walking destinations)</w:t>
            </w:r>
            <w:r w:rsidRPr="00436535">
              <w:rPr>
                <w:rFonts w:cstheme="minorHAnsi"/>
                <w:sz w:val="20"/>
                <w:szCs w:val="20"/>
              </w:rPr>
              <w:t xml:space="preserve">.  The unit of measure is </w:t>
            </w:r>
            <w:r>
              <w:rPr>
                <w:rFonts w:cstheme="minorHAnsi"/>
                <w:sz w:val="20"/>
                <w:szCs w:val="20"/>
              </w:rPr>
              <w:t xml:space="preserve">the </w:t>
            </w:r>
            <w:r w:rsidRPr="00436535">
              <w:rPr>
                <w:rFonts w:cstheme="minorHAnsi"/>
                <w:sz w:val="20"/>
                <w:szCs w:val="20"/>
              </w:rPr>
              <w:t xml:space="preserve">number of </w:t>
            </w:r>
            <w:r>
              <w:rPr>
                <w:rFonts w:cstheme="minorHAnsi"/>
                <w:sz w:val="20"/>
                <w:szCs w:val="20"/>
              </w:rPr>
              <w:t>businesses</w:t>
            </w:r>
            <w:r w:rsidRPr="00436535">
              <w:rPr>
                <w:rFonts w:cstheme="minorHAnsi"/>
                <w:sz w:val="20"/>
                <w:szCs w:val="20"/>
              </w:rPr>
              <w:t xml:space="preserve"> per square mile.</w:t>
            </w:r>
          </w:p>
        </w:tc>
        <w:tc>
          <w:tcPr>
            <w:tcW w:w="1952" w:type="dxa"/>
          </w:tcPr>
          <w:p w14:paraId="32EF4D54" w14:textId="77777777" w:rsidR="00DD3C53" w:rsidRPr="00436535" w:rsidRDefault="00DD3C53" w:rsidP="004D40F9">
            <w:pPr>
              <w:pStyle w:val="ListParagraph"/>
              <w:ind w:left="0"/>
              <w:rPr>
                <w:rFonts w:cstheme="minorHAnsi"/>
                <w:sz w:val="20"/>
                <w:szCs w:val="20"/>
              </w:rPr>
            </w:pPr>
          </w:p>
        </w:tc>
      </w:tr>
      <w:tr w:rsidR="00DD3C53" w:rsidRPr="006E751A" w14:paraId="60CD6BB5" w14:textId="77777777" w:rsidTr="00604541">
        <w:tc>
          <w:tcPr>
            <w:tcW w:w="977" w:type="dxa"/>
          </w:tcPr>
          <w:p w14:paraId="07F1031B" w14:textId="369F686D" w:rsidR="00DD3C53" w:rsidRDefault="00DD3C53" w:rsidP="007C53FD">
            <w:pPr>
              <w:tabs>
                <w:tab w:val="center" w:pos="6480"/>
              </w:tabs>
              <w:autoSpaceDE w:val="0"/>
              <w:autoSpaceDN w:val="0"/>
              <w:adjustRightInd w:val="0"/>
              <w:rPr>
                <w:rFonts w:cs="SAS Monospace"/>
                <w:sz w:val="20"/>
                <w:szCs w:val="20"/>
              </w:rPr>
            </w:pPr>
            <w:r>
              <w:rPr>
                <w:rFonts w:cs="SAS Monospace"/>
                <w:sz w:val="20"/>
                <w:szCs w:val="20"/>
              </w:rPr>
              <w:t>302</w:t>
            </w:r>
          </w:p>
        </w:tc>
        <w:tc>
          <w:tcPr>
            <w:tcW w:w="1903" w:type="dxa"/>
          </w:tcPr>
          <w:p w14:paraId="66F4A72E" w14:textId="07482B6F" w:rsidR="00DD3C53" w:rsidRDefault="00DD3C53" w:rsidP="00D4068B">
            <w:pPr>
              <w:tabs>
                <w:tab w:val="center" w:pos="6480"/>
              </w:tabs>
              <w:autoSpaceDE w:val="0"/>
              <w:autoSpaceDN w:val="0"/>
              <w:adjustRightInd w:val="0"/>
              <w:rPr>
                <w:rFonts w:cstheme="minorHAnsi"/>
                <w:sz w:val="20"/>
                <w:szCs w:val="20"/>
              </w:rPr>
            </w:pPr>
            <w:r>
              <w:rPr>
                <w:rFonts w:cstheme="minorHAnsi"/>
                <w:sz w:val="20"/>
                <w:szCs w:val="20"/>
              </w:rPr>
              <w:t>ASDTOTSTR</w:t>
            </w:r>
          </w:p>
          <w:p w14:paraId="4410CDAB" w14:textId="52BE85B9"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ab/>
            </w:r>
          </w:p>
        </w:tc>
        <w:tc>
          <w:tcPr>
            <w:tcW w:w="5788" w:type="dxa"/>
          </w:tcPr>
          <w:p w14:paraId="53AEEF10" w14:textId="04E80B6F" w:rsidR="00DD3C53" w:rsidRDefault="00DD3C53" w:rsidP="00DD3C53">
            <w:pPr>
              <w:tabs>
                <w:tab w:val="center" w:pos="6480"/>
              </w:tabs>
              <w:autoSpaceDE w:val="0"/>
              <w:autoSpaceDN w:val="0"/>
              <w:adjustRightInd w:val="0"/>
              <w:rPr>
                <w:rFonts w:cstheme="minorHAnsi"/>
                <w:sz w:val="20"/>
                <w:szCs w:val="20"/>
              </w:rPr>
            </w:pPr>
            <w:r>
              <w:rPr>
                <w:rFonts w:cstheme="minorHAnsi"/>
                <w:sz w:val="20"/>
                <w:szCs w:val="20"/>
              </w:rPr>
              <w:t>Euclidean distance to nearest</w:t>
            </w:r>
            <w:r w:rsidRPr="00436535">
              <w:rPr>
                <w:rFonts w:cstheme="minorHAnsi"/>
                <w:sz w:val="20"/>
                <w:szCs w:val="20"/>
              </w:rPr>
              <w:t xml:space="preserve"> </w:t>
            </w:r>
            <w:r>
              <w:rPr>
                <w:rFonts w:cstheme="minorHAnsi"/>
                <w:sz w:val="20"/>
                <w:szCs w:val="20"/>
              </w:rPr>
              <w:t>total stores (food, physical activity, social engagement, walking destinations) (meters)</w:t>
            </w:r>
            <w:r w:rsidRPr="00436535">
              <w:rPr>
                <w:rFonts w:cstheme="minorHAnsi"/>
                <w:sz w:val="20"/>
                <w:szCs w:val="20"/>
              </w:rPr>
              <w:t>.</w:t>
            </w:r>
          </w:p>
        </w:tc>
        <w:tc>
          <w:tcPr>
            <w:tcW w:w="1952" w:type="dxa"/>
          </w:tcPr>
          <w:p w14:paraId="79161FC3" w14:textId="77777777" w:rsidR="00DD3C53" w:rsidRPr="00436535" w:rsidRDefault="00DD3C53" w:rsidP="004D40F9">
            <w:pPr>
              <w:pStyle w:val="ListParagraph"/>
              <w:ind w:left="0"/>
              <w:rPr>
                <w:rFonts w:cstheme="minorHAnsi"/>
                <w:sz w:val="20"/>
                <w:szCs w:val="20"/>
              </w:rPr>
            </w:pPr>
          </w:p>
        </w:tc>
      </w:tr>
      <w:tr w:rsidR="00CE4BB7" w:rsidRPr="006E751A" w14:paraId="51D6CC08" w14:textId="77777777" w:rsidTr="00604541">
        <w:tc>
          <w:tcPr>
            <w:tcW w:w="977" w:type="dxa"/>
          </w:tcPr>
          <w:p w14:paraId="2CEAF80B" w14:textId="77777777" w:rsidR="00CE4BB7" w:rsidRDefault="00CE4BB7" w:rsidP="007C53FD">
            <w:pPr>
              <w:tabs>
                <w:tab w:val="center" w:pos="6480"/>
              </w:tabs>
              <w:autoSpaceDE w:val="0"/>
              <w:autoSpaceDN w:val="0"/>
              <w:adjustRightInd w:val="0"/>
              <w:rPr>
                <w:rFonts w:cs="SAS Monospace"/>
                <w:sz w:val="20"/>
                <w:szCs w:val="20"/>
              </w:rPr>
            </w:pPr>
          </w:p>
        </w:tc>
        <w:tc>
          <w:tcPr>
            <w:tcW w:w="1903" w:type="dxa"/>
          </w:tcPr>
          <w:p w14:paraId="4D3A839B" w14:textId="77777777" w:rsidR="00CE4BB7" w:rsidRDefault="00CE4BB7" w:rsidP="00D4068B">
            <w:pPr>
              <w:tabs>
                <w:tab w:val="center" w:pos="6480"/>
              </w:tabs>
              <w:autoSpaceDE w:val="0"/>
              <w:autoSpaceDN w:val="0"/>
              <w:adjustRightInd w:val="0"/>
              <w:rPr>
                <w:rFonts w:cstheme="minorHAnsi"/>
                <w:sz w:val="20"/>
                <w:szCs w:val="20"/>
              </w:rPr>
            </w:pPr>
          </w:p>
        </w:tc>
        <w:tc>
          <w:tcPr>
            <w:tcW w:w="5788" w:type="dxa"/>
          </w:tcPr>
          <w:p w14:paraId="58D7A155" w14:textId="77777777" w:rsidR="00CE4BB7" w:rsidRDefault="00CE4BB7" w:rsidP="00DD3C53">
            <w:pPr>
              <w:tabs>
                <w:tab w:val="center" w:pos="6480"/>
              </w:tabs>
              <w:autoSpaceDE w:val="0"/>
              <w:autoSpaceDN w:val="0"/>
              <w:adjustRightInd w:val="0"/>
              <w:rPr>
                <w:rFonts w:cstheme="minorHAnsi"/>
                <w:sz w:val="20"/>
                <w:szCs w:val="20"/>
              </w:rPr>
            </w:pPr>
          </w:p>
        </w:tc>
        <w:tc>
          <w:tcPr>
            <w:tcW w:w="1952" w:type="dxa"/>
          </w:tcPr>
          <w:p w14:paraId="6355136B" w14:textId="77777777" w:rsidR="00CE4BB7" w:rsidRDefault="00CE4BB7" w:rsidP="004D40F9">
            <w:pPr>
              <w:pStyle w:val="ListParagraph"/>
              <w:ind w:left="0"/>
              <w:rPr>
                <w:rFonts w:cstheme="minorHAnsi"/>
                <w:sz w:val="20"/>
                <w:szCs w:val="20"/>
              </w:rPr>
            </w:pPr>
          </w:p>
        </w:tc>
      </w:tr>
      <w:tr w:rsidR="00CE4BB7" w:rsidRPr="006E751A" w14:paraId="10CB4950" w14:textId="77777777" w:rsidTr="00D4068B">
        <w:tc>
          <w:tcPr>
            <w:tcW w:w="10620" w:type="dxa"/>
            <w:gridSpan w:val="4"/>
          </w:tcPr>
          <w:p w14:paraId="32556332" w14:textId="68C1DFCE" w:rsidR="00CE4BB7" w:rsidRPr="00CE4BB7" w:rsidRDefault="00CE4BB7" w:rsidP="004D40F9">
            <w:pPr>
              <w:pStyle w:val="ListParagraph"/>
              <w:ind w:left="0"/>
              <w:rPr>
                <w:rFonts w:cstheme="minorHAnsi"/>
                <w:b/>
                <w:sz w:val="20"/>
                <w:szCs w:val="20"/>
              </w:rPr>
            </w:pPr>
            <w:r w:rsidRPr="00CE4BB7">
              <w:rPr>
                <w:rFonts w:cs="SAS Monospace"/>
                <w:b/>
                <w:sz w:val="20"/>
                <w:szCs w:val="20"/>
              </w:rPr>
              <w:t>STREET NETWORK</w:t>
            </w:r>
          </w:p>
        </w:tc>
      </w:tr>
      <w:tr w:rsidR="003827B7" w:rsidRPr="006E751A" w14:paraId="54EA1F5E" w14:textId="77777777" w:rsidTr="00604541">
        <w:tc>
          <w:tcPr>
            <w:tcW w:w="977" w:type="dxa"/>
          </w:tcPr>
          <w:p w14:paraId="4B5C3260" w14:textId="34C23E14" w:rsidR="003827B7" w:rsidRDefault="003827B7" w:rsidP="007C53FD">
            <w:pPr>
              <w:tabs>
                <w:tab w:val="center" w:pos="6480"/>
              </w:tabs>
              <w:autoSpaceDE w:val="0"/>
              <w:autoSpaceDN w:val="0"/>
              <w:adjustRightInd w:val="0"/>
              <w:rPr>
                <w:rFonts w:cs="SAS Monospace"/>
                <w:sz w:val="20"/>
                <w:szCs w:val="20"/>
              </w:rPr>
            </w:pPr>
            <w:r>
              <w:rPr>
                <w:rFonts w:cs="SAS Monospace"/>
                <w:sz w:val="20"/>
                <w:szCs w:val="20"/>
              </w:rPr>
              <w:t>303</w:t>
            </w:r>
          </w:p>
        </w:tc>
        <w:tc>
          <w:tcPr>
            <w:tcW w:w="1903" w:type="dxa"/>
          </w:tcPr>
          <w:p w14:paraId="2B057C38" w14:textId="1AD45272" w:rsidR="003827B7" w:rsidRDefault="003827B7" w:rsidP="00D4068B">
            <w:pPr>
              <w:tabs>
                <w:tab w:val="center" w:pos="6480"/>
              </w:tabs>
              <w:autoSpaceDE w:val="0"/>
              <w:autoSpaceDN w:val="0"/>
              <w:adjustRightInd w:val="0"/>
              <w:rPr>
                <w:rFonts w:cstheme="minorHAnsi"/>
                <w:sz w:val="20"/>
                <w:szCs w:val="20"/>
              </w:rPr>
            </w:pPr>
            <w:r>
              <w:rPr>
                <w:rFonts w:cstheme="minorHAnsi"/>
                <w:sz w:val="20"/>
                <w:szCs w:val="20"/>
              </w:rPr>
              <w:t>STRPOPYRD</w:t>
            </w:r>
          </w:p>
        </w:tc>
        <w:tc>
          <w:tcPr>
            <w:tcW w:w="5788" w:type="dxa"/>
          </w:tcPr>
          <w:p w14:paraId="0C7B470A" w14:textId="71CAF4A2" w:rsidR="003827B7" w:rsidRDefault="003827B7" w:rsidP="00DD3C53">
            <w:pPr>
              <w:tabs>
                <w:tab w:val="center" w:pos="6480"/>
              </w:tabs>
              <w:autoSpaceDE w:val="0"/>
              <w:autoSpaceDN w:val="0"/>
              <w:adjustRightInd w:val="0"/>
              <w:rPr>
                <w:rFonts w:cstheme="minorHAnsi"/>
                <w:sz w:val="20"/>
                <w:szCs w:val="20"/>
              </w:rPr>
            </w:pPr>
            <w:r>
              <w:rPr>
                <w:rFonts w:cstheme="minorHAnsi"/>
                <w:sz w:val="20"/>
                <w:szCs w:val="20"/>
              </w:rPr>
              <w:t>Number of years between streets/population data collection and exam. Calculated by (Exam year – Data collection year).</w:t>
            </w:r>
          </w:p>
        </w:tc>
        <w:tc>
          <w:tcPr>
            <w:tcW w:w="1952" w:type="dxa"/>
          </w:tcPr>
          <w:p w14:paraId="6073408D" w14:textId="77777777" w:rsidR="003827B7" w:rsidRDefault="003827B7" w:rsidP="004D40F9">
            <w:pPr>
              <w:pStyle w:val="ListParagraph"/>
              <w:ind w:left="0"/>
              <w:rPr>
                <w:rFonts w:cstheme="minorHAnsi"/>
                <w:sz w:val="20"/>
                <w:szCs w:val="20"/>
              </w:rPr>
            </w:pPr>
            <w:r>
              <w:rPr>
                <w:rFonts w:cstheme="minorHAnsi"/>
                <w:sz w:val="20"/>
                <w:szCs w:val="20"/>
              </w:rPr>
              <w:t>0 = Data collection in same year as exam</w:t>
            </w:r>
          </w:p>
          <w:p w14:paraId="12ABA362" w14:textId="77777777" w:rsidR="003827B7" w:rsidRDefault="003827B7" w:rsidP="004D40F9">
            <w:pPr>
              <w:pStyle w:val="ListParagraph"/>
              <w:ind w:left="0"/>
              <w:rPr>
                <w:rFonts w:cstheme="minorHAnsi"/>
                <w:sz w:val="20"/>
                <w:szCs w:val="20"/>
              </w:rPr>
            </w:pPr>
            <w:r>
              <w:rPr>
                <w:rFonts w:cstheme="minorHAnsi"/>
                <w:sz w:val="20"/>
                <w:szCs w:val="20"/>
              </w:rPr>
              <w:t>&lt;0 = Data collection was after exam</w:t>
            </w:r>
          </w:p>
          <w:p w14:paraId="7061042D" w14:textId="69DC279D" w:rsidR="003827B7" w:rsidRPr="00436535" w:rsidRDefault="003827B7" w:rsidP="004D40F9">
            <w:pPr>
              <w:pStyle w:val="ListParagraph"/>
              <w:ind w:left="0"/>
              <w:rPr>
                <w:rFonts w:cstheme="minorHAnsi"/>
                <w:sz w:val="20"/>
                <w:szCs w:val="20"/>
              </w:rPr>
            </w:pPr>
            <w:r>
              <w:rPr>
                <w:rFonts w:cstheme="minorHAnsi"/>
                <w:sz w:val="20"/>
                <w:szCs w:val="20"/>
              </w:rPr>
              <w:t>&gt;0 = Data collection was before exam</w:t>
            </w:r>
          </w:p>
        </w:tc>
      </w:tr>
      <w:tr w:rsidR="00994DA0" w:rsidRPr="006E751A" w14:paraId="2EEAB937" w14:textId="77777777" w:rsidTr="00604541">
        <w:tc>
          <w:tcPr>
            <w:tcW w:w="977" w:type="dxa"/>
          </w:tcPr>
          <w:p w14:paraId="6ED4A5D7" w14:textId="7DD03909" w:rsidR="00994DA0" w:rsidRDefault="00994DA0" w:rsidP="007C53FD">
            <w:pPr>
              <w:tabs>
                <w:tab w:val="center" w:pos="6480"/>
              </w:tabs>
              <w:autoSpaceDE w:val="0"/>
              <w:autoSpaceDN w:val="0"/>
              <w:adjustRightInd w:val="0"/>
              <w:rPr>
                <w:rFonts w:cs="SAS Monospace"/>
                <w:sz w:val="20"/>
                <w:szCs w:val="20"/>
              </w:rPr>
            </w:pPr>
            <w:r>
              <w:rPr>
                <w:rFonts w:cs="SAS Monospace"/>
                <w:sz w:val="20"/>
                <w:szCs w:val="20"/>
              </w:rPr>
              <w:t>304</w:t>
            </w:r>
          </w:p>
        </w:tc>
        <w:tc>
          <w:tcPr>
            <w:tcW w:w="1903" w:type="dxa"/>
          </w:tcPr>
          <w:p w14:paraId="6EEB1693" w14:textId="2EE44C1F" w:rsidR="00994DA0" w:rsidRDefault="00994DA0" w:rsidP="00D4068B">
            <w:pPr>
              <w:tabs>
                <w:tab w:val="center" w:pos="6480"/>
              </w:tabs>
              <w:autoSpaceDE w:val="0"/>
              <w:autoSpaceDN w:val="0"/>
              <w:adjustRightInd w:val="0"/>
              <w:rPr>
                <w:rFonts w:cstheme="minorHAnsi"/>
                <w:sz w:val="20"/>
                <w:szCs w:val="20"/>
              </w:rPr>
            </w:pPr>
            <w:r>
              <w:rPr>
                <w:rFonts w:cstheme="minorHAnsi"/>
                <w:sz w:val="20"/>
                <w:szCs w:val="20"/>
              </w:rPr>
              <w:t>NetRatio0</w:t>
            </w:r>
          </w:p>
        </w:tc>
        <w:tc>
          <w:tcPr>
            <w:tcW w:w="5788" w:type="dxa"/>
          </w:tcPr>
          <w:p w14:paraId="4BCDEDC7" w14:textId="0B4D7E0A" w:rsidR="00994DA0" w:rsidRDefault="00994DA0" w:rsidP="00DD3C53">
            <w:pPr>
              <w:tabs>
                <w:tab w:val="center" w:pos="6480"/>
              </w:tabs>
              <w:autoSpaceDE w:val="0"/>
              <w:autoSpaceDN w:val="0"/>
              <w:adjustRightInd w:val="0"/>
              <w:rPr>
                <w:rFonts w:cstheme="minorHAnsi"/>
                <w:sz w:val="20"/>
                <w:szCs w:val="20"/>
              </w:rPr>
            </w:pPr>
            <w:r>
              <w:rPr>
                <w:rFonts w:cstheme="minorHAnsi"/>
                <w:sz w:val="20"/>
                <w:szCs w:val="20"/>
              </w:rPr>
              <w:t>1/2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3627C62F" w14:textId="77777777" w:rsidR="00994DA0" w:rsidRDefault="00994DA0" w:rsidP="004D40F9">
            <w:pPr>
              <w:pStyle w:val="ListParagraph"/>
              <w:ind w:left="0"/>
              <w:rPr>
                <w:rFonts w:cstheme="minorHAnsi"/>
                <w:sz w:val="20"/>
                <w:szCs w:val="20"/>
              </w:rPr>
            </w:pPr>
          </w:p>
        </w:tc>
      </w:tr>
      <w:tr w:rsidR="00994DA0" w:rsidRPr="006E751A" w14:paraId="25382E7E" w14:textId="77777777" w:rsidTr="00604541">
        <w:tc>
          <w:tcPr>
            <w:tcW w:w="977" w:type="dxa"/>
          </w:tcPr>
          <w:p w14:paraId="2FEA6DBC" w14:textId="775C6805" w:rsidR="00994DA0" w:rsidRDefault="00994DA0" w:rsidP="007C53FD">
            <w:pPr>
              <w:tabs>
                <w:tab w:val="center" w:pos="6480"/>
              </w:tabs>
              <w:autoSpaceDE w:val="0"/>
              <w:autoSpaceDN w:val="0"/>
              <w:adjustRightInd w:val="0"/>
              <w:rPr>
                <w:rFonts w:cs="SAS Monospace"/>
                <w:sz w:val="20"/>
                <w:szCs w:val="20"/>
              </w:rPr>
            </w:pPr>
            <w:r>
              <w:rPr>
                <w:rFonts w:cs="SAS Monospace"/>
                <w:sz w:val="20"/>
                <w:szCs w:val="20"/>
              </w:rPr>
              <w:t>305</w:t>
            </w:r>
          </w:p>
        </w:tc>
        <w:tc>
          <w:tcPr>
            <w:tcW w:w="1903" w:type="dxa"/>
          </w:tcPr>
          <w:p w14:paraId="4F80A4C1" w14:textId="23F4FB54" w:rsidR="00994DA0" w:rsidRDefault="00994DA0" w:rsidP="00D4068B">
            <w:pPr>
              <w:tabs>
                <w:tab w:val="center" w:pos="6480"/>
              </w:tabs>
              <w:autoSpaceDE w:val="0"/>
              <w:autoSpaceDN w:val="0"/>
              <w:adjustRightInd w:val="0"/>
              <w:rPr>
                <w:rFonts w:cstheme="minorHAnsi"/>
                <w:sz w:val="20"/>
                <w:szCs w:val="20"/>
              </w:rPr>
            </w:pPr>
            <w:r>
              <w:rPr>
                <w:rFonts w:cstheme="minorHAnsi"/>
                <w:sz w:val="20"/>
                <w:szCs w:val="20"/>
              </w:rPr>
              <w:t>IntDen0</w:t>
            </w:r>
          </w:p>
        </w:tc>
        <w:tc>
          <w:tcPr>
            <w:tcW w:w="5788" w:type="dxa"/>
          </w:tcPr>
          <w:p w14:paraId="153D69B1" w14:textId="46DFA5C9" w:rsidR="00994DA0" w:rsidRDefault="00994DA0" w:rsidP="00B5034C">
            <w:pPr>
              <w:tabs>
                <w:tab w:val="center" w:pos="6480"/>
              </w:tabs>
              <w:autoSpaceDE w:val="0"/>
              <w:autoSpaceDN w:val="0"/>
              <w:adjustRightInd w:val="0"/>
              <w:rPr>
                <w:rFonts w:cstheme="minorHAnsi"/>
                <w:sz w:val="20"/>
                <w:szCs w:val="20"/>
              </w:rPr>
            </w:pPr>
            <w:r>
              <w:rPr>
                <w:rFonts w:cstheme="minorHAnsi"/>
                <w:sz w:val="20"/>
                <w:szCs w:val="20"/>
              </w:rPr>
              <w:t>1/2 mile buffer intersection density (intersections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700C5C27" w14:textId="77777777" w:rsidR="00994DA0" w:rsidRDefault="00994DA0" w:rsidP="004D40F9">
            <w:pPr>
              <w:pStyle w:val="ListParagraph"/>
              <w:ind w:left="0"/>
              <w:rPr>
                <w:rFonts w:cstheme="minorHAnsi"/>
                <w:sz w:val="20"/>
                <w:szCs w:val="20"/>
              </w:rPr>
            </w:pPr>
          </w:p>
        </w:tc>
      </w:tr>
      <w:tr w:rsidR="00AE373D" w:rsidRPr="006E751A" w14:paraId="646AF17B" w14:textId="77777777" w:rsidTr="00604541">
        <w:tc>
          <w:tcPr>
            <w:tcW w:w="977" w:type="dxa"/>
          </w:tcPr>
          <w:p w14:paraId="63CC5222" w14:textId="7CAD1014" w:rsidR="00AE373D" w:rsidRDefault="00AE373D" w:rsidP="007C53FD">
            <w:pPr>
              <w:tabs>
                <w:tab w:val="center" w:pos="6480"/>
              </w:tabs>
              <w:autoSpaceDE w:val="0"/>
              <w:autoSpaceDN w:val="0"/>
              <w:adjustRightInd w:val="0"/>
              <w:rPr>
                <w:rFonts w:cs="SAS Monospace"/>
                <w:sz w:val="20"/>
                <w:szCs w:val="20"/>
              </w:rPr>
            </w:pPr>
            <w:r>
              <w:rPr>
                <w:rFonts w:cs="SAS Monospace"/>
                <w:sz w:val="20"/>
                <w:szCs w:val="20"/>
              </w:rPr>
              <w:t>306</w:t>
            </w:r>
          </w:p>
        </w:tc>
        <w:tc>
          <w:tcPr>
            <w:tcW w:w="1903" w:type="dxa"/>
          </w:tcPr>
          <w:p w14:paraId="3077E002" w14:textId="3828DE2E" w:rsidR="00AE373D" w:rsidRDefault="00AE373D" w:rsidP="00D4068B">
            <w:pPr>
              <w:tabs>
                <w:tab w:val="center" w:pos="6480"/>
              </w:tabs>
              <w:autoSpaceDE w:val="0"/>
              <w:autoSpaceDN w:val="0"/>
              <w:adjustRightInd w:val="0"/>
              <w:rPr>
                <w:rFonts w:cstheme="minorHAnsi"/>
                <w:sz w:val="20"/>
                <w:szCs w:val="20"/>
              </w:rPr>
            </w:pPr>
            <w:r>
              <w:rPr>
                <w:rFonts w:cstheme="minorHAnsi"/>
                <w:sz w:val="20"/>
                <w:szCs w:val="20"/>
              </w:rPr>
              <w:t>A_NetRatio0</w:t>
            </w:r>
          </w:p>
        </w:tc>
        <w:tc>
          <w:tcPr>
            <w:tcW w:w="5788" w:type="dxa"/>
          </w:tcPr>
          <w:p w14:paraId="01D977A9" w14:textId="7F35AFE8" w:rsidR="00AE373D" w:rsidRDefault="00AE373D" w:rsidP="00DD3C53">
            <w:pPr>
              <w:tabs>
                <w:tab w:val="center" w:pos="6480"/>
              </w:tabs>
              <w:autoSpaceDE w:val="0"/>
              <w:autoSpaceDN w:val="0"/>
              <w:adjustRightInd w:val="0"/>
              <w:rPr>
                <w:rFonts w:cstheme="minorHAnsi"/>
                <w:sz w:val="20"/>
                <w:szCs w:val="20"/>
              </w:rPr>
            </w:pPr>
            <w:r>
              <w:rPr>
                <w:rFonts w:cstheme="minorHAnsi"/>
                <w:sz w:val="20"/>
                <w:szCs w:val="20"/>
              </w:rPr>
              <w:t>Cumulative average of 1/2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0ED03416" w14:textId="77777777" w:rsidR="00AE373D" w:rsidRDefault="00AE373D" w:rsidP="004D40F9">
            <w:pPr>
              <w:pStyle w:val="ListParagraph"/>
              <w:ind w:left="0"/>
              <w:rPr>
                <w:rFonts w:cstheme="minorHAnsi"/>
                <w:sz w:val="20"/>
                <w:szCs w:val="20"/>
              </w:rPr>
            </w:pPr>
          </w:p>
        </w:tc>
      </w:tr>
      <w:tr w:rsidR="00AE373D" w:rsidRPr="006E751A" w14:paraId="69D92FE9" w14:textId="77777777" w:rsidTr="00604541">
        <w:tc>
          <w:tcPr>
            <w:tcW w:w="977" w:type="dxa"/>
          </w:tcPr>
          <w:p w14:paraId="2DD4C494" w14:textId="164ECEB9" w:rsidR="00AE373D" w:rsidRDefault="00AE373D" w:rsidP="007C53FD">
            <w:pPr>
              <w:tabs>
                <w:tab w:val="center" w:pos="6480"/>
              </w:tabs>
              <w:autoSpaceDE w:val="0"/>
              <w:autoSpaceDN w:val="0"/>
              <w:adjustRightInd w:val="0"/>
              <w:rPr>
                <w:rFonts w:cs="SAS Monospace"/>
                <w:sz w:val="20"/>
                <w:szCs w:val="20"/>
              </w:rPr>
            </w:pPr>
            <w:r>
              <w:rPr>
                <w:rFonts w:cs="SAS Monospace"/>
                <w:sz w:val="20"/>
                <w:szCs w:val="20"/>
              </w:rPr>
              <w:t>307</w:t>
            </w:r>
          </w:p>
        </w:tc>
        <w:tc>
          <w:tcPr>
            <w:tcW w:w="1903" w:type="dxa"/>
          </w:tcPr>
          <w:p w14:paraId="56863682" w14:textId="12E06168" w:rsidR="00AE373D" w:rsidRDefault="00AE373D" w:rsidP="00D4068B">
            <w:pPr>
              <w:tabs>
                <w:tab w:val="center" w:pos="6480"/>
              </w:tabs>
              <w:autoSpaceDE w:val="0"/>
              <w:autoSpaceDN w:val="0"/>
              <w:adjustRightInd w:val="0"/>
              <w:rPr>
                <w:rFonts w:cstheme="minorHAnsi"/>
                <w:sz w:val="20"/>
                <w:szCs w:val="20"/>
              </w:rPr>
            </w:pPr>
            <w:r>
              <w:rPr>
                <w:rFonts w:cstheme="minorHAnsi"/>
                <w:sz w:val="20"/>
                <w:szCs w:val="20"/>
              </w:rPr>
              <w:t>A_IntDen0</w:t>
            </w:r>
          </w:p>
        </w:tc>
        <w:tc>
          <w:tcPr>
            <w:tcW w:w="5788" w:type="dxa"/>
          </w:tcPr>
          <w:p w14:paraId="75E603C6" w14:textId="4BC6F73E" w:rsidR="00AE373D" w:rsidRDefault="00AE373D" w:rsidP="00DD3C53">
            <w:pPr>
              <w:tabs>
                <w:tab w:val="center" w:pos="6480"/>
              </w:tabs>
              <w:autoSpaceDE w:val="0"/>
              <w:autoSpaceDN w:val="0"/>
              <w:adjustRightInd w:val="0"/>
              <w:rPr>
                <w:rFonts w:cstheme="minorHAnsi"/>
                <w:sz w:val="20"/>
                <w:szCs w:val="20"/>
              </w:rPr>
            </w:pPr>
            <w:r>
              <w:rPr>
                <w:rFonts w:cstheme="minorHAnsi"/>
                <w:sz w:val="20"/>
                <w:szCs w:val="20"/>
              </w:rPr>
              <w:t xml:space="preserve">Cumulative average of 1/2 mile buffer intersection density </w:t>
            </w:r>
            <w:r>
              <w:rPr>
                <w:rFonts w:cstheme="minorHAnsi"/>
                <w:sz w:val="20"/>
                <w:szCs w:val="20"/>
              </w:rPr>
              <w:lastRenderedPageBreak/>
              <w:t>(intersections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142BA803" w14:textId="77777777" w:rsidR="00AE373D" w:rsidRDefault="00AE373D" w:rsidP="004D40F9">
            <w:pPr>
              <w:pStyle w:val="ListParagraph"/>
              <w:ind w:left="0"/>
              <w:rPr>
                <w:rFonts w:cstheme="minorHAnsi"/>
                <w:sz w:val="20"/>
                <w:szCs w:val="20"/>
              </w:rPr>
            </w:pPr>
          </w:p>
        </w:tc>
      </w:tr>
      <w:tr w:rsidR="00C4572E" w:rsidRPr="006E751A" w14:paraId="326225B4" w14:textId="77777777" w:rsidTr="00604541">
        <w:tc>
          <w:tcPr>
            <w:tcW w:w="977" w:type="dxa"/>
          </w:tcPr>
          <w:p w14:paraId="1A1FE515" w14:textId="1517830F" w:rsidR="00C4572E" w:rsidRDefault="00C4572E" w:rsidP="007C53FD">
            <w:pPr>
              <w:tabs>
                <w:tab w:val="center" w:pos="6480"/>
              </w:tabs>
              <w:autoSpaceDE w:val="0"/>
              <w:autoSpaceDN w:val="0"/>
              <w:adjustRightInd w:val="0"/>
              <w:rPr>
                <w:rFonts w:cs="SAS Monospace"/>
                <w:sz w:val="20"/>
                <w:szCs w:val="20"/>
              </w:rPr>
            </w:pPr>
            <w:r>
              <w:rPr>
                <w:rFonts w:cs="SAS Monospace"/>
                <w:sz w:val="20"/>
                <w:szCs w:val="20"/>
              </w:rPr>
              <w:lastRenderedPageBreak/>
              <w:t>308</w:t>
            </w:r>
          </w:p>
        </w:tc>
        <w:tc>
          <w:tcPr>
            <w:tcW w:w="1903" w:type="dxa"/>
          </w:tcPr>
          <w:p w14:paraId="54A40409" w14:textId="1893B74C" w:rsidR="00C4572E" w:rsidRDefault="00C4572E" w:rsidP="00D4068B">
            <w:pPr>
              <w:tabs>
                <w:tab w:val="center" w:pos="6480"/>
              </w:tabs>
              <w:autoSpaceDE w:val="0"/>
              <w:autoSpaceDN w:val="0"/>
              <w:adjustRightInd w:val="0"/>
              <w:rPr>
                <w:rFonts w:cstheme="minorHAnsi"/>
                <w:sz w:val="20"/>
                <w:szCs w:val="20"/>
              </w:rPr>
            </w:pPr>
            <w:r>
              <w:rPr>
                <w:rFonts w:cstheme="minorHAnsi"/>
                <w:sz w:val="20"/>
                <w:szCs w:val="20"/>
              </w:rPr>
              <w:t>NetRatio0ip</w:t>
            </w:r>
          </w:p>
        </w:tc>
        <w:tc>
          <w:tcPr>
            <w:tcW w:w="5788" w:type="dxa"/>
          </w:tcPr>
          <w:p w14:paraId="333BA9F5" w14:textId="49AA462D" w:rsidR="00C4572E" w:rsidRDefault="00C4572E" w:rsidP="00DD3C53">
            <w:pPr>
              <w:tabs>
                <w:tab w:val="center" w:pos="6480"/>
              </w:tabs>
              <w:autoSpaceDE w:val="0"/>
              <w:autoSpaceDN w:val="0"/>
              <w:adjustRightInd w:val="0"/>
              <w:rPr>
                <w:rFonts w:cstheme="minorHAnsi"/>
                <w:sz w:val="20"/>
                <w:szCs w:val="20"/>
              </w:rPr>
            </w:pPr>
            <w:r>
              <w:rPr>
                <w:rFonts w:cstheme="minorHAnsi"/>
                <w:sz w:val="20"/>
                <w:szCs w:val="20"/>
              </w:rPr>
              <w:t>Interpolated 1/2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12F3E9EF" w14:textId="77777777" w:rsidR="00C4572E" w:rsidRDefault="00C4572E" w:rsidP="004D40F9">
            <w:pPr>
              <w:pStyle w:val="ListParagraph"/>
              <w:ind w:left="0"/>
              <w:rPr>
                <w:rFonts w:cstheme="minorHAnsi"/>
                <w:sz w:val="20"/>
                <w:szCs w:val="20"/>
              </w:rPr>
            </w:pPr>
          </w:p>
        </w:tc>
      </w:tr>
      <w:tr w:rsidR="00C4572E" w:rsidRPr="006E751A" w14:paraId="40C9F025" w14:textId="77777777" w:rsidTr="00604541">
        <w:tc>
          <w:tcPr>
            <w:tcW w:w="977" w:type="dxa"/>
          </w:tcPr>
          <w:p w14:paraId="612B6341" w14:textId="1CC04E97" w:rsidR="00C4572E" w:rsidRDefault="00C4572E" w:rsidP="007C53FD">
            <w:pPr>
              <w:tabs>
                <w:tab w:val="center" w:pos="6480"/>
              </w:tabs>
              <w:autoSpaceDE w:val="0"/>
              <w:autoSpaceDN w:val="0"/>
              <w:adjustRightInd w:val="0"/>
              <w:rPr>
                <w:rFonts w:cs="SAS Monospace"/>
                <w:sz w:val="20"/>
                <w:szCs w:val="20"/>
              </w:rPr>
            </w:pPr>
            <w:r>
              <w:rPr>
                <w:rFonts w:cs="SAS Monospace"/>
                <w:sz w:val="20"/>
                <w:szCs w:val="20"/>
              </w:rPr>
              <w:t>309</w:t>
            </w:r>
          </w:p>
        </w:tc>
        <w:tc>
          <w:tcPr>
            <w:tcW w:w="1903" w:type="dxa"/>
          </w:tcPr>
          <w:p w14:paraId="588B9EC9" w14:textId="75EB9A2D" w:rsidR="00C4572E" w:rsidRDefault="00C4572E" w:rsidP="00D4068B">
            <w:pPr>
              <w:tabs>
                <w:tab w:val="center" w:pos="6480"/>
              </w:tabs>
              <w:autoSpaceDE w:val="0"/>
              <w:autoSpaceDN w:val="0"/>
              <w:adjustRightInd w:val="0"/>
              <w:rPr>
                <w:rFonts w:cstheme="minorHAnsi"/>
                <w:sz w:val="20"/>
                <w:szCs w:val="20"/>
              </w:rPr>
            </w:pPr>
            <w:r>
              <w:rPr>
                <w:rFonts w:cstheme="minorHAnsi"/>
                <w:sz w:val="20"/>
                <w:szCs w:val="20"/>
              </w:rPr>
              <w:t>IntDen0ip</w:t>
            </w:r>
          </w:p>
        </w:tc>
        <w:tc>
          <w:tcPr>
            <w:tcW w:w="5788" w:type="dxa"/>
          </w:tcPr>
          <w:p w14:paraId="7F576D9E" w14:textId="2B07D2ED" w:rsidR="00C4572E" w:rsidRDefault="00C4572E" w:rsidP="00DD3C53">
            <w:pPr>
              <w:tabs>
                <w:tab w:val="center" w:pos="6480"/>
              </w:tabs>
              <w:autoSpaceDE w:val="0"/>
              <w:autoSpaceDN w:val="0"/>
              <w:adjustRightInd w:val="0"/>
              <w:rPr>
                <w:rFonts w:cstheme="minorHAnsi"/>
                <w:sz w:val="20"/>
                <w:szCs w:val="20"/>
              </w:rPr>
            </w:pPr>
            <w:r>
              <w:rPr>
                <w:rFonts w:cstheme="minorHAnsi"/>
                <w:sz w:val="20"/>
                <w:szCs w:val="20"/>
              </w:rPr>
              <w:t>Interpolated 1/2 mile buffer intersection density (intersections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5815361E" w14:textId="77777777" w:rsidR="00C4572E" w:rsidRDefault="00C4572E" w:rsidP="004D40F9">
            <w:pPr>
              <w:pStyle w:val="ListParagraph"/>
              <w:ind w:left="0"/>
              <w:rPr>
                <w:rFonts w:cstheme="minorHAnsi"/>
                <w:sz w:val="20"/>
                <w:szCs w:val="20"/>
              </w:rPr>
            </w:pPr>
          </w:p>
        </w:tc>
      </w:tr>
      <w:tr w:rsidR="00D170B4" w:rsidRPr="006E751A" w14:paraId="70F09A83" w14:textId="77777777" w:rsidTr="00604541">
        <w:tc>
          <w:tcPr>
            <w:tcW w:w="977" w:type="dxa"/>
          </w:tcPr>
          <w:p w14:paraId="313A5D7A" w14:textId="7D24F5EF" w:rsidR="00D170B4" w:rsidRDefault="00D170B4" w:rsidP="007C53FD">
            <w:pPr>
              <w:tabs>
                <w:tab w:val="center" w:pos="6480"/>
              </w:tabs>
              <w:autoSpaceDE w:val="0"/>
              <w:autoSpaceDN w:val="0"/>
              <w:adjustRightInd w:val="0"/>
              <w:rPr>
                <w:rFonts w:cs="SAS Monospace"/>
                <w:sz w:val="20"/>
                <w:szCs w:val="20"/>
              </w:rPr>
            </w:pPr>
            <w:r>
              <w:rPr>
                <w:rFonts w:cs="SAS Monospace"/>
                <w:sz w:val="20"/>
                <w:szCs w:val="20"/>
              </w:rPr>
              <w:t>310</w:t>
            </w:r>
          </w:p>
        </w:tc>
        <w:tc>
          <w:tcPr>
            <w:tcW w:w="1903" w:type="dxa"/>
          </w:tcPr>
          <w:p w14:paraId="2720D32F" w14:textId="11B4FCB5"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NetRatio1</w:t>
            </w:r>
          </w:p>
        </w:tc>
        <w:tc>
          <w:tcPr>
            <w:tcW w:w="5788" w:type="dxa"/>
          </w:tcPr>
          <w:p w14:paraId="31527EF4" w14:textId="2452FF98"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1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44DD180E" w14:textId="77777777" w:rsidR="00D170B4" w:rsidRDefault="00D170B4" w:rsidP="004D40F9">
            <w:pPr>
              <w:pStyle w:val="ListParagraph"/>
              <w:ind w:left="0"/>
              <w:rPr>
                <w:rFonts w:cstheme="minorHAnsi"/>
                <w:sz w:val="20"/>
                <w:szCs w:val="20"/>
              </w:rPr>
            </w:pPr>
          </w:p>
        </w:tc>
      </w:tr>
      <w:tr w:rsidR="00D170B4" w:rsidRPr="006E751A" w14:paraId="7D12C2C8" w14:textId="77777777" w:rsidTr="00604541">
        <w:tc>
          <w:tcPr>
            <w:tcW w:w="977" w:type="dxa"/>
          </w:tcPr>
          <w:p w14:paraId="57704E83" w14:textId="143BC89A" w:rsidR="00D170B4" w:rsidRDefault="00D170B4" w:rsidP="00D170B4">
            <w:pPr>
              <w:tabs>
                <w:tab w:val="center" w:pos="6480"/>
              </w:tabs>
              <w:autoSpaceDE w:val="0"/>
              <w:autoSpaceDN w:val="0"/>
              <w:adjustRightInd w:val="0"/>
              <w:rPr>
                <w:rFonts w:cs="SAS Monospace"/>
                <w:sz w:val="20"/>
                <w:szCs w:val="20"/>
              </w:rPr>
            </w:pPr>
            <w:r>
              <w:rPr>
                <w:rFonts w:cs="SAS Monospace"/>
                <w:sz w:val="20"/>
                <w:szCs w:val="20"/>
              </w:rPr>
              <w:t>311</w:t>
            </w:r>
          </w:p>
        </w:tc>
        <w:tc>
          <w:tcPr>
            <w:tcW w:w="1903" w:type="dxa"/>
          </w:tcPr>
          <w:p w14:paraId="0A80DD45" w14:textId="15024947" w:rsidR="00D170B4" w:rsidRDefault="00D170B4" w:rsidP="00D4068B">
            <w:pPr>
              <w:tabs>
                <w:tab w:val="center" w:pos="6480"/>
              </w:tabs>
              <w:autoSpaceDE w:val="0"/>
              <w:autoSpaceDN w:val="0"/>
              <w:adjustRightInd w:val="0"/>
              <w:rPr>
                <w:rFonts w:cstheme="minorHAnsi"/>
                <w:sz w:val="20"/>
                <w:szCs w:val="20"/>
              </w:rPr>
            </w:pPr>
            <w:r>
              <w:rPr>
                <w:rFonts w:cstheme="minorHAnsi"/>
                <w:sz w:val="20"/>
                <w:szCs w:val="20"/>
              </w:rPr>
              <w:t>IntDen1</w:t>
            </w:r>
          </w:p>
        </w:tc>
        <w:tc>
          <w:tcPr>
            <w:tcW w:w="5788" w:type="dxa"/>
          </w:tcPr>
          <w:p w14:paraId="0CB56634" w14:textId="663399EC"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1 mile buffer intersection density (intersections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261E8CF8" w14:textId="77777777" w:rsidR="00D170B4" w:rsidRDefault="00D170B4" w:rsidP="004D40F9">
            <w:pPr>
              <w:pStyle w:val="ListParagraph"/>
              <w:ind w:left="0"/>
              <w:rPr>
                <w:rFonts w:cstheme="minorHAnsi"/>
                <w:sz w:val="20"/>
                <w:szCs w:val="20"/>
              </w:rPr>
            </w:pPr>
          </w:p>
        </w:tc>
      </w:tr>
      <w:tr w:rsidR="00D170B4" w:rsidRPr="006E751A" w14:paraId="0EF1D119" w14:textId="77777777" w:rsidTr="00604541">
        <w:tc>
          <w:tcPr>
            <w:tcW w:w="977" w:type="dxa"/>
          </w:tcPr>
          <w:p w14:paraId="44DDD288" w14:textId="20BCCA26" w:rsidR="00D170B4" w:rsidRDefault="00D170B4" w:rsidP="00D170B4">
            <w:pPr>
              <w:tabs>
                <w:tab w:val="center" w:pos="6480"/>
              </w:tabs>
              <w:autoSpaceDE w:val="0"/>
              <w:autoSpaceDN w:val="0"/>
              <w:adjustRightInd w:val="0"/>
              <w:rPr>
                <w:rFonts w:cs="SAS Monospace"/>
                <w:sz w:val="20"/>
                <w:szCs w:val="20"/>
              </w:rPr>
            </w:pPr>
            <w:r>
              <w:rPr>
                <w:rFonts w:cs="SAS Monospace"/>
                <w:sz w:val="20"/>
                <w:szCs w:val="20"/>
              </w:rPr>
              <w:t>312</w:t>
            </w:r>
          </w:p>
        </w:tc>
        <w:tc>
          <w:tcPr>
            <w:tcW w:w="1903" w:type="dxa"/>
          </w:tcPr>
          <w:p w14:paraId="0CE28C5E" w14:textId="31B0CA8C" w:rsidR="00D170B4" w:rsidRDefault="00D170B4" w:rsidP="00D4068B">
            <w:pPr>
              <w:tabs>
                <w:tab w:val="center" w:pos="6480"/>
              </w:tabs>
              <w:autoSpaceDE w:val="0"/>
              <w:autoSpaceDN w:val="0"/>
              <w:adjustRightInd w:val="0"/>
              <w:rPr>
                <w:rFonts w:cstheme="minorHAnsi"/>
                <w:sz w:val="20"/>
                <w:szCs w:val="20"/>
              </w:rPr>
            </w:pPr>
            <w:r>
              <w:rPr>
                <w:rFonts w:cstheme="minorHAnsi"/>
                <w:sz w:val="20"/>
                <w:szCs w:val="20"/>
              </w:rPr>
              <w:t>A_NetRatio1</w:t>
            </w:r>
          </w:p>
        </w:tc>
        <w:tc>
          <w:tcPr>
            <w:tcW w:w="5788" w:type="dxa"/>
          </w:tcPr>
          <w:p w14:paraId="6A2FA745" w14:textId="1F243C7E"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Cumulative average of 1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4130F9F4" w14:textId="77777777" w:rsidR="00D170B4" w:rsidRDefault="00D170B4" w:rsidP="004D40F9">
            <w:pPr>
              <w:pStyle w:val="ListParagraph"/>
              <w:ind w:left="0"/>
              <w:rPr>
                <w:rFonts w:cstheme="minorHAnsi"/>
                <w:sz w:val="20"/>
                <w:szCs w:val="20"/>
              </w:rPr>
            </w:pPr>
          </w:p>
        </w:tc>
      </w:tr>
      <w:tr w:rsidR="00D170B4" w:rsidRPr="006E751A" w14:paraId="779CE0E1" w14:textId="77777777" w:rsidTr="00604541">
        <w:tc>
          <w:tcPr>
            <w:tcW w:w="977" w:type="dxa"/>
          </w:tcPr>
          <w:p w14:paraId="02350295" w14:textId="58176F7F" w:rsidR="00D170B4" w:rsidRDefault="00D170B4" w:rsidP="00D170B4">
            <w:pPr>
              <w:tabs>
                <w:tab w:val="center" w:pos="6480"/>
              </w:tabs>
              <w:autoSpaceDE w:val="0"/>
              <w:autoSpaceDN w:val="0"/>
              <w:adjustRightInd w:val="0"/>
              <w:rPr>
                <w:rFonts w:cs="SAS Monospace"/>
                <w:sz w:val="20"/>
                <w:szCs w:val="20"/>
              </w:rPr>
            </w:pPr>
            <w:r>
              <w:rPr>
                <w:rFonts w:cs="SAS Monospace"/>
                <w:sz w:val="20"/>
                <w:szCs w:val="20"/>
              </w:rPr>
              <w:t>313</w:t>
            </w:r>
          </w:p>
        </w:tc>
        <w:tc>
          <w:tcPr>
            <w:tcW w:w="1903" w:type="dxa"/>
          </w:tcPr>
          <w:p w14:paraId="46B0C07B" w14:textId="01E08770" w:rsidR="00D170B4" w:rsidRDefault="00D170B4" w:rsidP="00D4068B">
            <w:pPr>
              <w:tabs>
                <w:tab w:val="center" w:pos="6480"/>
              </w:tabs>
              <w:autoSpaceDE w:val="0"/>
              <w:autoSpaceDN w:val="0"/>
              <w:adjustRightInd w:val="0"/>
              <w:rPr>
                <w:rFonts w:cstheme="minorHAnsi"/>
                <w:sz w:val="20"/>
                <w:szCs w:val="20"/>
              </w:rPr>
            </w:pPr>
            <w:r>
              <w:rPr>
                <w:rFonts w:cstheme="minorHAnsi"/>
                <w:sz w:val="20"/>
                <w:szCs w:val="20"/>
              </w:rPr>
              <w:t>A_IntDen1</w:t>
            </w:r>
          </w:p>
        </w:tc>
        <w:tc>
          <w:tcPr>
            <w:tcW w:w="5788" w:type="dxa"/>
          </w:tcPr>
          <w:p w14:paraId="05D50AED" w14:textId="64A4EC0B"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Cumulative average of 1 mile buffer intersection density (intersections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5910E137" w14:textId="77777777" w:rsidR="00D170B4" w:rsidRDefault="00D170B4" w:rsidP="004D40F9">
            <w:pPr>
              <w:pStyle w:val="ListParagraph"/>
              <w:ind w:left="0"/>
              <w:rPr>
                <w:rFonts w:cstheme="minorHAnsi"/>
                <w:sz w:val="20"/>
                <w:szCs w:val="20"/>
              </w:rPr>
            </w:pPr>
          </w:p>
        </w:tc>
      </w:tr>
      <w:tr w:rsidR="00D170B4" w:rsidRPr="006E751A" w14:paraId="2C008A44" w14:textId="77777777" w:rsidTr="00604541">
        <w:tc>
          <w:tcPr>
            <w:tcW w:w="977" w:type="dxa"/>
          </w:tcPr>
          <w:p w14:paraId="33C1121A" w14:textId="70C6F220" w:rsidR="00D170B4" w:rsidRDefault="00D170B4" w:rsidP="00D170B4">
            <w:pPr>
              <w:tabs>
                <w:tab w:val="center" w:pos="6480"/>
              </w:tabs>
              <w:autoSpaceDE w:val="0"/>
              <w:autoSpaceDN w:val="0"/>
              <w:adjustRightInd w:val="0"/>
              <w:rPr>
                <w:rFonts w:cs="SAS Monospace"/>
                <w:sz w:val="20"/>
                <w:szCs w:val="20"/>
              </w:rPr>
            </w:pPr>
            <w:r>
              <w:rPr>
                <w:rFonts w:cs="SAS Monospace"/>
                <w:sz w:val="20"/>
                <w:szCs w:val="20"/>
              </w:rPr>
              <w:t>314</w:t>
            </w:r>
          </w:p>
        </w:tc>
        <w:tc>
          <w:tcPr>
            <w:tcW w:w="1903" w:type="dxa"/>
          </w:tcPr>
          <w:p w14:paraId="10E034AF" w14:textId="18D8F7C8"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NetRatio1ip</w:t>
            </w:r>
          </w:p>
        </w:tc>
        <w:tc>
          <w:tcPr>
            <w:tcW w:w="5788" w:type="dxa"/>
          </w:tcPr>
          <w:p w14:paraId="0451CAC3" w14:textId="4C31722F"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Interpolated 1 mile buffer Network Ratio – a measure of street connectivity.  A number closer to 1 represents better connectivity.</w:t>
            </w:r>
            <w:r w:rsidR="00D4068B">
              <w:rPr>
                <w:rFonts w:cstheme="minorHAnsi"/>
                <w:sz w:val="20"/>
                <w:szCs w:val="20"/>
              </w:rPr>
              <w:t xml:space="preserve"> Calculated as Network area divided by total area of the buffer.</w:t>
            </w:r>
          </w:p>
        </w:tc>
        <w:tc>
          <w:tcPr>
            <w:tcW w:w="1952" w:type="dxa"/>
          </w:tcPr>
          <w:p w14:paraId="50DC3C42" w14:textId="77777777" w:rsidR="00D170B4" w:rsidRDefault="00D170B4" w:rsidP="004D40F9">
            <w:pPr>
              <w:pStyle w:val="ListParagraph"/>
              <w:ind w:left="0"/>
              <w:rPr>
                <w:rFonts w:cstheme="minorHAnsi"/>
                <w:sz w:val="20"/>
                <w:szCs w:val="20"/>
              </w:rPr>
            </w:pPr>
          </w:p>
        </w:tc>
      </w:tr>
      <w:tr w:rsidR="00D170B4" w:rsidRPr="006E751A" w14:paraId="71A63BBA" w14:textId="77777777" w:rsidTr="00604541">
        <w:tc>
          <w:tcPr>
            <w:tcW w:w="977" w:type="dxa"/>
          </w:tcPr>
          <w:p w14:paraId="59830B99" w14:textId="1B439AB5" w:rsidR="00D170B4" w:rsidRDefault="00D170B4" w:rsidP="00D170B4">
            <w:pPr>
              <w:tabs>
                <w:tab w:val="center" w:pos="6480"/>
              </w:tabs>
              <w:autoSpaceDE w:val="0"/>
              <w:autoSpaceDN w:val="0"/>
              <w:adjustRightInd w:val="0"/>
              <w:rPr>
                <w:rFonts w:cs="SAS Monospace"/>
                <w:sz w:val="20"/>
                <w:szCs w:val="20"/>
              </w:rPr>
            </w:pPr>
            <w:r>
              <w:rPr>
                <w:rFonts w:cs="SAS Monospace"/>
                <w:sz w:val="20"/>
                <w:szCs w:val="20"/>
              </w:rPr>
              <w:t>315</w:t>
            </w:r>
          </w:p>
        </w:tc>
        <w:tc>
          <w:tcPr>
            <w:tcW w:w="1903" w:type="dxa"/>
          </w:tcPr>
          <w:p w14:paraId="1360CC58" w14:textId="7D5E94F0"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IntDen1ip</w:t>
            </w:r>
          </w:p>
        </w:tc>
        <w:tc>
          <w:tcPr>
            <w:tcW w:w="5788" w:type="dxa"/>
          </w:tcPr>
          <w:p w14:paraId="038C04B2" w14:textId="26003EC2" w:rsidR="00D170B4" w:rsidRDefault="00D170B4" w:rsidP="00D170B4">
            <w:pPr>
              <w:tabs>
                <w:tab w:val="center" w:pos="6480"/>
              </w:tabs>
              <w:autoSpaceDE w:val="0"/>
              <w:autoSpaceDN w:val="0"/>
              <w:adjustRightInd w:val="0"/>
              <w:rPr>
                <w:rFonts w:cstheme="minorHAnsi"/>
                <w:sz w:val="20"/>
                <w:szCs w:val="20"/>
              </w:rPr>
            </w:pPr>
            <w:r>
              <w:rPr>
                <w:rFonts w:cstheme="minorHAnsi"/>
                <w:sz w:val="20"/>
                <w:szCs w:val="20"/>
              </w:rPr>
              <w:t>Interpolated 1 mile buffer intersection density (intersections per hectare) – a measure of street connectivity.  A higher number indicates better connectivity.</w:t>
            </w:r>
            <w:r w:rsidR="00B5034C">
              <w:rPr>
                <w:rFonts w:cstheme="minorHAnsi"/>
                <w:sz w:val="20"/>
                <w:szCs w:val="20"/>
              </w:rPr>
              <w:t xml:space="preserve"> Calculated as Number of intersections divided by total area of the buffer.</w:t>
            </w:r>
          </w:p>
        </w:tc>
        <w:tc>
          <w:tcPr>
            <w:tcW w:w="1952" w:type="dxa"/>
          </w:tcPr>
          <w:p w14:paraId="2D9CC109" w14:textId="77777777" w:rsidR="00D170B4" w:rsidRDefault="00D170B4" w:rsidP="004D40F9">
            <w:pPr>
              <w:pStyle w:val="ListParagraph"/>
              <w:ind w:left="0"/>
              <w:rPr>
                <w:rFonts w:cstheme="minorHAnsi"/>
                <w:sz w:val="20"/>
                <w:szCs w:val="20"/>
              </w:rPr>
            </w:pPr>
          </w:p>
        </w:tc>
      </w:tr>
      <w:tr w:rsidR="00FC173E" w:rsidRPr="006E751A" w14:paraId="45EACEA5" w14:textId="77777777" w:rsidTr="00604541">
        <w:tc>
          <w:tcPr>
            <w:tcW w:w="977" w:type="dxa"/>
          </w:tcPr>
          <w:p w14:paraId="54B6D9F4" w14:textId="77777777" w:rsidR="00FC173E" w:rsidRDefault="00FC173E" w:rsidP="00D170B4">
            <w:pPr>
              <w:tabs>
                <w:tab w:val="center" w:pos="6480"/>
              </w:tabs>
              <w:autoSpaceDE w:val="0"/>
              <w:autoSpaceDN w:val="0"/>
              <w:adjustRightInd w:val="0"/>
              <w:rPr>
                <w:rFonts w:cs="SAS Monospace"/>
                <w:sz w:val="20"/>
                <w:szCs w:val="20"/>
              </w:rPr>
            </w:pPr>
          </w:p>
        </w:tc>
        <w:tc>
          <w:tcPr>
            <w:tcW w:w="1903" w:type="dxa"/>
          </w:tcPr>
          <w:p w14:paraId="05D45643" w14:textId="77777777" w:rsidR="00FC173E" w:rsidRDefault="00FC173E" w:rsidP="00D170B4">
            <w:pPr>
              <w:tabs>
                <w:tab w:val="center" w:pos="6480"/>
              </w:tabs>
              <w:autoSpaceDE w:val="0"/>
              <w:autoSpaceDN w:val="0"/>
              <w:adjustRightInd w:val="0"/>
              <w:rPr>
                <w:rFonts w:cstheme="minorHAnsi"/>
                <w:sz w:val="20"/>
                <w:szCs w:val="20"/>
              </w:rPr>
            </w:pPr>
          </w:p>
        </w:tc>
        <w:tc>
          <w:tcPr>
            <w:tcW w:w="5788" w:type="dxa"/>
          </w:tcPr>
          <w:p w14:paraId="3DFDFC0A" w14:textId="77777777" w:rsidR="00FC173E" w:rsidRDefault="00FC173E" w:rsidP="00D170B4">
            <w:pPr>
              <w:tabs>
                <w:tab w:val="center" w:pos="6480"/>
              </w:tabs>
              <w:autoSpaceDE w:val="0"/>
              <w:autoSpaceDN w:val="0"/>
              <w:adjustRightInd w:val="0"/>
              <w:rPr>
                <w:rFonts w:cstheme="minorHAnsi"/>
                <w:sz w:val="20"/>
                <w:szCs w:val="20"/>
              </w:rPr>
            </w:pPr>
          </w:p>
        </w:tc>
        <w:tc>
          <w:tcPr>
            <w:tcW w:w="1952" w:type="dxa"/>
          </w:tcPr>
          <w:p w14:paraId="53BAF235" w14:textId="77777777" w:rsidR="00FC173E" w:rsidRDefault="00FC173E" w:rsidP="004D40F9">
            <w:pPr>
              <w:pStyle w:val="ListParagraph"/>
              <w:ind w:left="0"/>
              <w:rPr>
                <w:rFonts w:cstheme="minorHAnsi"/>
                <w:sz w:val="20"/>
                <w:szCs w:val="20"/>
              </w:rPr>
            </w:pPr>
          </w:p>
        </w:tc>
      </w:tr>
      <w:tr w:rsidR="00FC173E" w:rsidRPr="006E751A" w14:paraId="2B74A26B" w14:textId="77777777" w:rsidTr="00D4068B">
        <w:tc>
          <w:tcPr>
            <w:tcW w:w="10620" w:type="dxa"/>
            <w:gridSpan w:val="4"/>
          </w:tcPr>
          <w:p w14:paraId="4729D8F2" w14:textId="717EBB8A" w:rsidR="00FC173E" w:rsidRPr="00FC173E" w:rsidRDefault="00FC173E" w:rsidP="004D40F9">
            <w:pPr>
              <w:pStyle w:val="ListParagraph"/>
              <w:ind w:left="0"/>
              <w:rPr>
                <w:rFonts w:cstheme="minorHAnsi"/>
                <w:b/>
                <w:sz w:val="20"/>
                <w:szCs w:val="20"/>
              </w:rPr>
            </w:pPr>
            <w:r w:rsidRPr="00FC173E">
              <w:rPr>
                <w:rFonts w:cs="SAS Monospace"/>
                <w:b/>
                <w:sz w:val="20"/>
                <w:szCs w:val="20"/>
              </w:rPr>
              <w:t>POPULATION DENSITY</w:t>
            </w:r>
          </w:p>
        </w:tc>
      </w:tr>
      <w:tr w:rsidR="00D4068B" w:rsidRPr="006E751A" w14:paraId="0A5F15EE" w14:textId="77777777" w:rsidTr="00604541">
        <w:tc>
          <w:tcPr>
            <w:tcW w:w="977" w:type="dxa"/>
          </w:tcPr>
          <w:p w14:paraId="7DDA5231" w14:textId="440211E3" w:rsidR="00D4068B" w:rsidRDefault="00D4068B" w:rsidP="00D170B4">
            <w:pPr>
              <w:tabs>
                <w:tab w:val="center" w:pos="6480"/>
              </w:tabs>
              <w:autoSpaceDE w:val="0"/>
              <w:autoSpaceDN w:val="0"/>
              <w:adjustRightInd w:val="0"/>
              <w:rPr>
                <w:rFonts w:cs="SAS Monospace"/>
                <w:sz w:val="20"/>
                <w:szCs w:val="20"/>
              </w:rPr>
            </w:pPr>
            <w:r>
              <w:rPr>
                <w:rFonts w:cs="SAS Monospace"/>
                <w:sz w:val="20"/>
                <w:szCs w:val="20"/>
              </w:rPr>
              <w:t>316</w:t>
            </w:r>
          </w:p>
        </w:tc>
        <w:tc>
          <w:tcPr>
            <w:tcW w:w="1903" w:type="dxa"/>
          </w:tcPr>
          <w:p w14:paraId="3B902D3E" w14:textId="4B87D1A6" w:rsidR="00D4068B" w:rsidRDefault="00D4068B" w:rsidP="00D170B4">
            <w:pPr>
              <w:tabs>
                <w:tab w:val="center" w:pos="6480"/>
              </w:tabs>
              <w:autoSpaceDE w:val="0"/>
              <w:autoSpaceDN w:val="0"/>
              <w:adjustRightInd w:val="0"/>
              <w:rPr>
                <w:rFonts w:cstheme="minorHAnsi"/>
                <w:sz w:val="20"/>
                <w:szCs w:val="20"/>
              </w:rPr>
            </w:pPr>
            <w:r>
              <w:rPr>
                <w:rFonts w:cstheme="minorHAnsi"/>
                <w:sz w:val="20"/>
                <w:szCs w:val="20"/>
              </w:rPr>
              <w:t>POPDENMI0</w:t>
            </w:r>
          </w:p>
        </w:tc>
        <w:tc>
          <w:tcPr>
            <w:tcW w:w="5788" w:type="dxa"/>
          </w:tcPr>
          <w:p w14:paraId="25247EB7" w14:textId="36D911E0" w:rsidR="00D4068B" w:rsidRDefault="00D4068B" w:rsidP="00B5034C">
            <w:pPr>
              <w:tabs>
                <w:tab w:val="center" w:pos="6480"/>
              </w:tabs>
              <w:autoSpaceDE w:val="0"/>
              <w:autoSpaceDN w:val="0"/>
              <w:adjustRightInd w:val="0"/>
              <w:rPr>
                <w:rFonts w:cstheme="minorHAnsi"/>
                <w:sz w:val="20"/>
                <w:szCs w:val="20"/>
              </w:rPr>
            </w:pPr>
            <w:r>
              <w:rPr>
                <w:rFonts w:cstheme="minorHAnsi"/>
                <w:sz w:val="20"/>
                <w:szCs w:val="20"/>
              </w:rPr>
              <w:t xml:space="preserve">Population density in 1/2 mile buffer (persons per square mile) based on Census population data. </w:t>
            </w:r>
            <w:r w:rsidR="00B5034C">
              <w:rPr>
                <w:rFonts w:cstheme="minorHAnsi"/>
                <w:sz w:val="20"/>
                <w:szCs w:val="20"/>
              </w:rPr>
              <w:t>Calculated as population divided by total area of the buffer.</w:t>
            </w:r>
          </w:p>
        </w:tc>
        <w:tc>
          <w:tcPr>
            <w:tcW w:w="1952" w:type="dxa"/>
          </w:tcPr>
          <w:p w14:paraId="041DE822" w14:textId="77777777" w:rsidR="00D4068B" w:rsidRDefault="00D4068B" w:rsidP="004D40F9">
            <w:pPr>
              <w:pStyle w:val="ListParagraph"/>
              <w:ind w:left="0"/>
              <w:rPr>
                <w:rFonts w:cstheme="minorHAnsi"/>
                <w:sz w:val="20"/>
                <w:szCs w:val="20"/>
              </w:rPr>
            </w:pPr>
          </w:p>
        </w:tc>
      </w:tr>
      <w:tr w:rsidR="00B5034C" w:rsidRPr="006E751A" w14:paraId="15508E28" w14:textId="77777777" w:rsidTr="00604541">
        <w:tc>
          <w:tcPr>
            <w:tcW w:w="977" w:type="dxa"/>
          </w:tcPr>
          <w:p w14:paraId="3757059E" w14:textId="6B70D785" w:rsidR="00B5034C" w:rsidRDefault="00B5034C" w:rsidP="00D170B4">
            <w:pPr>
              <w:tabs>
                <w:tab w:val="center" w:pos="6480"/>
              </w:tabs>
              <w:autoSpaceDE w:val="0"/>
              <w:autoSpaceDN w:val="0"/>
              <w:adjustRightInd w:val="0"/>
              <w:rPr>
                <w:rFonts w:cs="SAS Monospace"/>
                <w:sz w:val="20"/>
                <w:szCs w:val="20"/>
              </w:rPr>
            </w:pPr>
            <w:r>
              <w:rPr>
                <w:rFonts w:cs="SAS Monospace"/>
                <w:sz w:val="20"/>
                <w:szCs w:val="20"/>
              </w:rPr>
              <w:t>317</w:t>
            </w:r>
          </w:p>
        </w:tc>
        <w:tc>
          <w:tcPr>
            <w:tcW w:w="1903" w:type="dxa"/>
          </w:tcPr>
          <w:p w14:paraId="207F4702" w14:textId="4451299A"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PDRESKM0</w:t>
            </w:r>
          </w:p>
        </w:tc>
        <w:tc>
          <w:tcPr>
            <w:tcW w:w="5788" w:type="dxa"/>
          </w:tcPr>
          <w:p w14:paraId="4DD3CB94" w14:textId="55DC7465"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Population density per residential area in 1/2 mile buffer (persons per square kilometer) based on Census population and land use data. Calculated as population divided by total residential area of the buffer.</w:t>
            </w:r>
          </w:p>
        </w:tc>
        <w:tc>
          <w:tcPr>
            <w:tcW w:w="1952" w:type="dxa"/>
          </w:tcPr>
          <w:p w14:paraId="5135BAEA" w14:textId="77777777" w:rsidR="00B5034C" w:rsidRDefault="00B5034C" w:rsidP="004D40F9">
            <w:pPr>
              <w:pStyle w:val="ListParagraph"/>
              <w:ind w:left="0"/>
              <w:rPr>
                <w:rFonts w:cstheme="minorHAnsi"/>
                <w:sz w:val="20"/>
                <w:szCs w:val="20"/>
              </w:rPr>
            </w:pPr>
          </w:p>
        </w:tc>
      </w:tr>
      <w:tr w:rsidR="00B5034C" w:rsidRPr="006E751A" w14:paraId="37027C28" w14:textId="77777777" w:rsidTr="00604541">
        <w:tc>
          <w:tcPr>
            <w:tcW w:w="977" w:type="dxa"/>
          </w:tcPr>
          <w:p w14:paraId="14DAF15E" w14:textId="58715855" w:rsidR="00B5034C" w:rsidRDefault="00B5034C" w:rsidP="00D170B4">
            <w:pPr>
              <w:tabs>
                <w:tab w:val="center" w:pos="6480"/>
              </w:tabs>
              <w:autoSpaceDE w:val="0"/>
              <w:autoSpaceDN w:val="0"/>
              <w:adjustRightInd w:val="0"/>
              <w:rPr>
                <w:rFonts w:cs="SAS Monospace"/>
                <w:sz w:val="20"/>
                <w:szCs w:val="20"/>
              </w:rPr>
            </w:pPr>
            <w:r>
              <w:rPr>
                <w:rFonts w:cs="SAS Monospace"/>
                <w:sz w:val="20"/>
                <w:szCs w:val="20"/>
              </w:rPr>
              <w:t>318</w:t>
            </w:r>
          </w:p>
        </w:tc>
        <w:tc>
          <w:tcPr>
            <w:tcW w:w="1903" w:type="dxa"/>
          </w:tcPr>
          <w:p w14:paraId="2E6A623D" w14:textId="006303AB"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A_POPDENMI0</w:t>
            </w:r>
          </w:p>
        </w:tc>
        <w:tc>
          <w:tcPr>
            <w:tcW w:w="5788" w:type="dxa"/>
          </w:tcPr>
          <w:p w14:paraId="424795C0" w14:textId="5533024D"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Cumulative average of Population density in 1/2 mile buffer (persons per square mile) based on Census population data. Calculated as population divided by total area of the buffer.</w:t>
            </w:r>
          </w:p>
        </w:tc>
        <w:tc>
          <w:tcPr>
            <w:tcW w:w="1952" w:type="dxa"/>
          </w:tcPr>
          <w:p w14:paraId="4F48CD8D" w14:textId="77777777" w:rsidR="00B5034C" w:rsidRDefault="00B5034C" w:rsidP="004D40F9">
            <w:pPr>
              <w:pStyle w:val="ListParagraph"/>
              <w:ind w:left="0"/>
              <w:rPr>
                <w:rFonts w:cstheme="minorHAnsi"/>
                <w:sz w:val="20"/>
                <w:szCs w:val="20"/>
              </w:rPr>
            </w:pPr>
          </w:p>
        </w:tc>
      </w:tr>
      <w:tr w:rsidR="00B5034C" w:rsidRPr="006E751A" w14:paraId="4293CCE7" w14:textId="77777777" w:rsidTr="00604541">
        <w:tc>
          <w:tcPr>
            <w:tcW w:w="977" w:type="dxa"/>
          </w:tcPr>
          <w:p w14:paraId="2E8406AF" w14:textId="0FE28708" w:rsidR="00B5034C" w:rsidRDefault="00B5034C" w:rsidP="00D170B4">
            <w:pPr>
              <w:tabs>
                <w:tab w:val="center" w:pos="6480"/>
              </w:tabs>
              <w:autoSpaceDE w:val="0"/>
              <w:autoSpaceDN w:val="0"/>
              <w:adjustRightInd w:val="0"/>
              <w:rPr>
                <w:rFonts w:cs="SAS Monospace"/>
                <w:sz w:val="20"/>
                <w:szCs w:val="20"/>
              </w:rPr>
            </w:pPr>
            <w:r>
              <w:rPr>
                <w:rFonts w:cs="SAS Monospace"/>
                <w:sz w:val="20"/>
                <w:szCs w:val="20"/>
              </w:rPr>
              <w:t>319</w:t>
            </w:r>
          </w:p>
        </w:tc>
        <w:tc>
          <w:tcPr>
            <w:tcW w:w="1903" w:type="dxa"/>
          </w:tcPr>
          <w:p w14:paraId="1A0121B9" w14:textId="71906EB7"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A_PDRESKM0</w:t>
            </w:r>
          </w:p>
        </w:tc>
        <w:tc>
          <w:tcPr>
            <w:tcW w:w="5788" w:type="dxa"/>
          </w:tcPr>
          <w:p w14:paraId="387767E3" w14:textId="20EC1B0B"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Cumulative average of Population density per residential area in 1/2 mile buffer (persons per square kilometer) based on Census population and land use data. Calculated as population divided by total residential area of the buffer.</w:t>
            </w:r>
          </w:p>
        </w:tc>
        <w:tc>
          <w:tcPr>
            <w:tcW w:w="1952" w:type="dxa"/>
          </w:tcPr>
          <w:p w14:paraId="57D93359" w14:textId="77777777" w:rsidR="00B5034C" w:rsidRDefault="00B5034C" w:rsidP="004D40F9">
            <w:pPr>
              <w:pStyle w:val="ListParagraph"/>
              <w:ind w:left="0"/>
              <w:rPr>
                <w:rFonts w:cstheme="minorHAnsi"/>
                <w:sz w:val="20"/>
                <w:szCs w:val="20"/>
              </w:rPr>
            </w:pPr>
          </w:p>
        </w:tc>
      </w:tr>
      <w:tr w:rsidR="00B5034C" w:rsidRPr="006E751A" w14:paraId="460698D3" w14:textId="77777777" w:rsidTr="00604541">
        <w:tc>
          <w:tcPr>
            <w:tcW w:w="977" w:type="dxa"/>
          </w:tcPr>
          <w:p w14:paraId="471C7838" w14:textId="4095E619" w:rsidR="00B5034C" w:rsidRDefault="00B5034C" w:rsidP="00D170B4">
            <w:pPr>
              <w:tabs>
                <w:tab w:val="center" w:pos="6480"/>
              </w:tabs>
              <w:autoSpaceDE w:val="0"/>
              <w:autoSpaceDN w:val="0"/>
              <w:adjustRightInd w:val="0"/>
              <w:rPr>
                <w:rFonts w:cs="SAS Monospace"/>
                <w:sz w:val="20"/>
                <w:szCs w:val="20"/>
              </w:rPr>
            </w:pPr>
            <w:r>
              <w:rPr>
                <w:rFonts w:cs="SAS Monospace"/>
                <w:sz w:val="20"/>
                <w:szCs w:val="20"/>
              </w:rPr>
              <w:t>320</w:t>
            </w:r>
          </w:p>
        </w:tc>
        <w:tc>
          <w:tcPr>
            <w:tcW w:w="1903" w:type="dxa"/>
          </w:tcPr>
          <w:p w14:paraId="2A3CC6C0" w14:textId="217AB5E4"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POPDENMI0ip</w:t>
            </w:r>
          </w:p>
        </w:tc>
        <w:tc>
          <w:tcPr>
            <w:tcW w:w="5788" w:type="dxa"/>
          </w:tcPr>
          <w:p w14:paraId="78A17562" w14:textId="5D6AF53B"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 xml:space="preserve">Interpolated Population density in 1/2 mile buffer (persons per square mile) based on Census population data. Calculated as </w:t>
            </w:r>
            <w:r>
              <w:rPr>
                <w:rFonts w:cstheme="minorHAnsi"/>
                <w:sz w:val="20"/>
                <w:szCs w:val="20"/>
              </w:rPr>
              <w:lastRenderedPageBreak/>
              <w:t>population divided by total area of the buffer.</w:t>
            </w:r>
          </w:p>
        </w:tc>
        <w:tc>
          <w:tcPr>
            <w:tcW w:w="1952" w:type="dxa"/>
          </w:tcPr>
          <w:p w14:paraId="6521354C" w14:textId="77777777" w:rsidR="00B5034C" w:rsidRDefault="00B5034C" w:rsidP="004D40F9">
            <w:pPr>
              <w:pStyle w:val="ListParagraph"/>
              <w:ind w:left="0"/>
              <w:rPr>
                <w:rFonts w:cstheme="minorHAnsi"/>
                <w:sz w:val="20"/>
                <w:szCs w:val="20"/>
              </w:rPr>
            </w:pPr>
          </w:p>
        </w:tc>
      </w:tr>
      <w:tr w:rsidR="00B5034C" w:rsidRPr="006E751A" w14:paraId="5733604E" w14:textId="77777777" w:rsidTr="00604541">
        <w:tc>
          <w:tcPr>
            <w:tcW w:w="977" w:type="dxa"/>
          </w:tcPr>
          <w:p w14:paraId="580D72C0" w14:textId="037E5B21" w:rsidR="00B5034C" w:rsidRDefault="00B5034C" w:rsidP="00D170B4">
            <w:pPr>
              <w:tabs>
                <w:tab w:val="center" w:pos="6480"/>
              </w:tabs>
              <w:autoSpaceDE w:val="0"/>
              <w:autoSpaceDN w:val="0"/>
              <w:adjustRightInd w:val="0"/>
              <w:rPr>
                <w:rFonts w:cs="SAS Monospace"/>
                <w:sz w:val="20"/>
                <w:szCs w:val="20"/>
              </w:rPr>
            </w:pPr>
            <w:r>
              <w:rPr>
                <w:rFonts w:cs="SAS Monospace"/>
                <w:sz w:val="20"/>
                <w:szCs w:val="20"/>
              </w:rPr>
              <w:lastRenderedPageBreak/>
              <w:t>321</w:t>
            </w:r>
          </w:p>
        </w:tc>
        <w:tc>
          <w:tcPr>
            <w:tcW w:w="1903" w:type="dxa"/>
          </w:tcPr>
          <w:p w14:paraId="16F80865" w14:textId="7BA0A871"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PDRESKM0ip</w:t>
            </w:r>
          </w:p>
        </w:tc>
        <w:tc>
          <w:tcPr>
            <w:tcW w:w="5788" w:type="dxa"/>
          </w:tcPr>
          <w:p w14:paraId="4466B999" w14:textId="6B4EADC6"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Interpolated Population density per residential area in 1/2 mile buffer (persons per square kilometer) based on Census population and land use data. Calculated as population divided by total residential area of the buffer.</w:t>
            </w:r>
          </w:p>
        </w:tc>
        <w:tc>
          <w:tcPr>
            <w:tcW w:w="1952" w:type="dxa"/>
          </w:tcPr>
          <w:p w14:paraId="33EAF12F" w14:textId="77777777" w:rsidR="00B5034C" w:rsidRDefault="00B5034C" w:rsidP="004D40F9">
            <w:pPr>
              <w:pStyle w:val="ListParagraph"/>
              <w:ind w:left="0"/>
              <w:rPr>
                <w:rFonts w:cstheme="minorHAnsi"/>
                <w:sz w:val="20"/>
                <w:szCs w:val="20"/>
              </w:rPr>
            </w:pPr>
          </w:p>
        </w:tc>
      </w:tr>
      <w:tr w:rsidR="00B5034C" w:rsidRPr="006E751A" w14:paraId="5AC69983" w14:textId="77777777" w:rsidTr="00604541">
        <w:tc>
          <w:tcPr>
            <w:tcW w:w="977" w:type="dxa"/>
          </w:tcPr>
          <w:p w14:paraId="149820A8" w14:textId="1E87A5E7"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322</w:t>
            </w:r>
          </w:p>
        </w:tc>
        <w:tc>
          <w:tcPr>
            <w:tcW w:w="1903" w:type="dxa"/>
          </w:tcPr>
          <w:p w14:paraId="2B298AA0" w14:textId="5848A8F5"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POPDENMI1</w:t>
            </w:r>
          </w:p>
        </w:tc>
        <w:tc>
          <w:tcPr>
            <w:tcW w:w="5788" w:type="dxa"/>
          </w:tcPr>
          <w:p w14:paraId="73B7DB70" w14:textId="24A827E2"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Population density in 1 mile buffer (persons per square mile) based on Census population data. Calculated as population divided by total area of the buffer.</w:t>
            </w:r>
          </w:p>
        </w:tc>
        <w:tc>
          <w:tcPr>
            <w:tcW w:w="1952" w:type="dxa"/>
          </w:tcPr>
          <w:p w14:paraId="6F6A442E" w14:textId="77777777" w:rsidR="00B5034C" w:rsidRDefault="00B5034C" w:rsidP="004D40F9">
            <w:pPr>
              <w:pStyle w:val="ListParagraph"/>
              <w:ind w:left="0"/>
              <w:rPr>
                <w:rFonts w:cstheme="minorHAnsi"/>
                <w:sz w:val="20"/>
                <w:szCs w:val="20"/>
              </w:rPr>
            </w:pPr>
          </w:p>
        </w:tc>
      </w:tr>
      <w:tr w:rsidR="00B5034C" w:rsidRPr="006E751A" w14:paraId="318BFF9F" w14:textId="77777777" w:rsidTr="00604541">
        <w:tc>
          <w:tcPr>
            <w:tcW w:w="977" w:type="dxa"/>
          </w:tcPr>
          <w:p w14:paraId="058C97E9" w14:textId="23464BC0"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323</w:t>
            </w:r>
          </w:p>
        </w:tc>
        <w:tc>
          <w:tcPr>
            <w:tcW w:w="1903" w:type="dxa"/>
          </w:tcPr>
          <w:p w14:paraId="7DAC6CC1" w14:textId="0C66CA26"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PDRESKM1</w:t>
            </w:r>
          </w:p>
        </w:tc>
        <w:tc>
          <w:tcPr>
            <w:tcW w:w="5788" w:type="dxa"/>
          </w:tcPr>
          <w:p w14:paraId="5AD52145" w14:textId="02447F34"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Population density per residential area in 1 mile buffer (persons per square kilometer) based on Census population and land use data. Calculated as population divided by total residential area of the buffer.</w:t>
            </w:r>
          </w:p>
        </w:tc>
        <w:tc>
          <w:tcPr>
            <w:tcW w:w="1952" w:type="dxa"/>
          </w:tcPr>
          <w:p w14:paraId="3D6A4954" w14:textId="77777777" w:rsidR="00B5034C" w:rsidRDefault="00B5034C" w:rsidP="004D40F9">
            <w:pPr>
              <w:pStyle w:val="ListParagraph"/>
              <w:ind w:left="0"/>
              <w:rPr>
                <w:rFonts w:cstheme="minorHAnsi"/>
                <w:sz w:val="20"/>
                <w:szCs w:val="20"/>
              </w:rPr>
            </w:pPr>
          </w:p>
        </w:tc>
      </w:tr>
      <w:tr w:rsidR="00B5034C" w:rsidRPr="006E751A" w14:paraId="4DA6EA4F" w14:textId="77777777" w:rsidTr="00604541">
        <w:tc>
          <w:tcPr>
            <w:tcW w:w="977" w:type="dxa"/>
          </w:tcPr>
          <w:p w14:paraId="096ED4F6" w14:textId="78ABB240"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324</w:t>
            </w:r>
          </w:p>
        </w:tc>
        <w:tc>
          <w:tcPr>
            <w:tcW w:w="1903" w:type="dxa"/>
          </w:tcPr>
          <w:p w14:paraId="7BEC973D" w14:textId="6DE9C719"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A_POPDENMI1</w:t>
            </w:r>
          </w:p>
        </w:tc>
        <w:tc>
          <w:tcPr>
            <w:tcW w:w="5788" w:type="dxa"/>
          </w:tcPr>
          <w:p w14:paraId="3E72F001" w14:textId="46CC290D"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Cumulative average of Population density in 1 mile buffer (persons per square mile) based on Census population data. Calculated as population divided by total area of the buffer.</w:t>
            </w:r>
          </w:p>
        </w:tc>
        <w:tc>
          <w:tcPr>
            <w:tcW w:w="1952" w:type="dxa"/>
          </w:tcPr>
          <w:p w14:paraId="5A6E1EF8" w14:textId="77777777" w:rsidR="00B5034C" w:rsidRDefault="00B5034C" w:rsidP="004D40F9">
            <w:pPr>
              <w:pStyle w:val="ListParagraph"/>
              <w:ind w:left="0"/>
              <w:rPr>
                <w:rFonts w:cstheme="minorHAnsi"/>
                <w:sz w:val="20"/>
                <w:szCs w:val="20"/>
              </w:rPr>
            </w:pPr>
          </w:p>
        </w:tc>
      </w:tr>
      <w:tr w:rsidR="00B5034C" w:rsidRPr="006E751A" w14:paraId="1749B4DE" w14:textId="77777777" w:rsidTr="00604541">
        <w:tc>
          <w:tcPr>
            <w:tcW w:w="977" w:type="dxa"/>
          </w:tcPr>
          <w:p w14:paraId="4696527C" w14:textId="214FA25A"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325</w:t>
            </w:r>
          </w:p>
        </w:tc>
        <w:tc>
          <w:tcPr>
            <w:tcW w:w="1903" w:type="dxa"/>
          </w:tcPr>
          <w:p w14:paraId="0FE72ED9" w14:textId="3BA09A40" w:rsidR="00B5034C" w:rsidRDefault="00B5034C" w:rsidP="00D170B4">
            <w:pPr>
              <w:tabs>
                <w:tab w:val="center" w:pos="6480"/>
              </w:tabs>
              <w:autoSpaceDE w:val="0"/>
              <w:autoSpaceDN w:val="0"/>
              <w:adjustRightInd w:val="0"/>
              <w:rPr>
                <w:rFonts w:cstheme="minorHAnsi"/>
                <w:sz w:val="20"/>
                <w:szCs w:val="20"/>
              </w:rPr>
            </w:pPr>
            <w:r>
              <w:rPr>
                <w:rFonts w:cstheme="minorHAnsi"/>
                <w:sz w:val="20"/>
                <w:szCs w:val="20"/>
              </w:rPr>
              <w:t>A_PDRESKM1</w:t>
            </w:r>
          </w:p>
        </w:tc>
        <w:tc>
          <w:tcPr>
            <w:tcW w:w="5788" w:type="dxa"/>
          </w:tcPr>
          <w:p w14:paraId="32FCFF78" w14:textId="11520950"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Cumulative average of Population density per residential area in 1 mile buffer (persons per square kilometer) based on Census population and land use data. Calculated as population divided by total residential area of the buffer.</w:t>
            </w:r>
          </w:p>
        </w:tc>
        <w:tc>
          <w:tcPr>
            <w:tcW w:w="1952" w:type="dxa"/>
          </w:tcPr>
          <w:p w14:paraId="2EE160C2" w14:textId="77777777" w:rsidR="00B5034C" w:rsidRDefault="00B5034C" w:rsidP="004D40F9">
            <w:pPr>
              <w:pStyle w:val="ListParagraph"/>
              <w:ind w:left="0"/>
              <w:rPr>
                <w:rFonts w:cstheme="minorHAnsi"/>
                <w:sz w:val="20"/>
                <w:szCs w:val="20"/>
              </w:rPr>
            </w:pPr>
          </w:p>
        </w:tc>
      </w:tr>
      <w:tr w:rsidR="00B5034C" w:rsidRPr="006E751A" w14:paraId="72B2CB1F" w14:textId="77777777" w:rsidTr="00604541">
        <w:tc>
          <w:tcPr>
            <w:tcW w:w="977" w:type="dxa"/>
          </w:tcPr>
          <w:p w14:paraId="584EEAED" w14:textId="133BFFF5"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326</w:t>
            </w:r>
          </w:p>
        </w:tc>
        <w:tc>
          <w:tcPr>
            <w:tcW w:w="1903" w:type="dxa"/>
          </w:tcPr>
          <w:p w14:paraId="66976BB3" w14:textId="315A637B"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POPDENMI1ip</w:t>
            </w:r>
          </w:p>
        </w:tc>
        <w:tc>
          <w:tcPr>
            <w:tcW w:w="5788" w:type="dxa"/>
          </w:tcPr>
          <w:p w14:paraId="5A0B978E" w14:textId="7184D1A0"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Interpolated Population density in 1 mile buffer (persons per square mile) based on Census population data. Calculated as population divided by total area of the buffer.</w:t>
            </w:r>
          </w:p>
        </w:tc>
        <w:tc>
          <w:tcPr>
            <w:tcW w:w="1952" w:type="dxa"/>
          </w:tcPr>
          <w:p w14:paraId="09C20126" w14:textId="77777777" w:rsidR="00B5034C" w:rsidRDefault="00B5034C" w:rsidP="004D40F9">
            <w:pPr>
              <w:pStyle w:val="ListParagraph"/>
              <w:ind w:left="0"/>
              <w:rPr>
                <w:rFonts w:cstheme="minorHAnsi"/>
                <w:sz w:val="20"/>
                <w:szCs w:val="20"/>
              </w:rPr>
            </w:pPr>
          </w:p>
        </w:tc>
      </w:tr>
      <w:tr w:rsidR="00B5034C" w:rsidRPr="006E751A" w14:paraId="12C51FE9" w14:textId="77777777" w:rsidTr="00604541">
        <w:tc>
          <w:tcPr>
            <w:tcW w:w="977" w:type="dxa"/>
          </w:tcPr>
          <w:p w14:paraId="623D9FD9" w14:textId="7FD70ED3" w:rsidR="00B5034C" w:rsidRDefault="00B5034C" w:rsidP="00B5034C">
            <w:pPr>
              <w:tabs>
                <w:tab w:val="center" w:pos="6480"/>
              </w:tabs>
              <w:autoSpaceDE w:val="0"/>
              <w:autoSpaceDN w:val="0"/>
              <w:adjustRightInd w:val="0"/>
              <w:rPr>
                <w:rFonts w:cs="SAS Monospace"/>
                <w:sz w:val="20"/>
                <w:szCs w:val="20"/>
              </w:rPr>
            </w:pPr>
            <w:r>
              <w:rPr>
                <w:rFonts w:cs="SAS Monospace"/>
                <w:sz w:val="20"/>
                <w:szCs w:val="20"/>
              </w:rPr>
              <w:t>327</w:t>
            </w:r>
          </w:p>
        </w:tc>
        <w:tc>
          <w:tcPr>
            <w:tcW w:w="1903" w:type="dxa"/>
          </w:tcPr>
          <w:p w14:paraId="712A31EE" w14:textId="12701C51"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PDRESKM1ip</w:t>
            </w:r>
          </w:p>
        </w:tc>
        <w:tc>
          <w:tcPr>
            <w:tcW w:w="5788" w:type="dxa"/>
          </w:tcPr>
          <w:p w14:paraId="7ACA5917" w14:textId="49A1DBF0" w:rsidR="00B5034C" w:rsidRDefault="00B5034C" w:rsidP="00B5034C">
            <w:pPr>
              <w:tabs>
                <w:tab w:val="center" w:pos="6480"/>
              </w:tabs>
              <w:autoSpaceDE w:val="0"/>
              <w:autoSpaceDN w:val="0"/>
              <w:adjustRightInd w:val="0"/>
              <w:rPr>
                <w:rFonts w:cstheme="minorHAnsi"/>
                <w:sz w:val="20"/>
                <w:szCs w:val="20"/>
              </w:rPr>
            </w:pPr>
            <w:r>
              <w:rPr>
                <w:rFonts w:cstheme="minorHAnsi"/>
                <w:sz w:val="20"/>
                <w:szCs w:val="20"/>
              </w:rPr>
              <w:t>Interpolated Population density per residential area in 1 mile buffer (persons per square kilometer) based on Census population and land use data. Calculated as population divided by total residential area of the buffer.</w:t>
            </w:r>
          </w:p>
        </w:tc>
        <w:tc>
          <w:tcPr>
            <w:tcW w:w="1952" w:type="dxa"/>
          </w:tcPr>
          <w:p w14:paraId="3FC8BB45" w14:textId="77777777" w:rsidR="00B5034C" w:rsidRDefault="00B5034C" w:rsidP="004D40F9">
            <w:pPr>
              <w:pStyle w:val="ListParagraph"/>
              <w:ind w:left="0"/>
              <w:rPr>
                <w:rFonts w:cstheme="minorHAnsi"/>
                <w:sz w:val="20"/>
                <w:szCs w:val="20"/>
              </w:rPr>
            </w:pPr>
          </w:p>
        </w:tc>
      </w:tr>
      <w:tr w:rsidR="00E471A3" w:rsidRPr="006E751A" w14:paraId="7745554C" w14:textId="77777777" w:rsidTr="00604541">
        <w:tc>
          <w:tcPr>
            <w:tcW w:w="977" w:type="dxa"/>
          </w:tcPr>
          <w:p w14:paraId="6524814B" w14:textId="77777777" w:rsidR="00E471A3" w:rsidRDefault="00E471A3" w:rsidP="00B5034C">
            <w:pPr>
              <w:tabs>
                <w:tab w:val="center" w:pos="6480"/>
              </w:tabs>
              <w:autoSpaceDE w:val="0"/>
              <w:autoSpaceDN w:val="0"/>
              <w:adjustRightInd w:val="0"/>
              <w:rPr>
                <w:rFonts w:cs="SAS Monospace"/>
                <w:sz w:val="20"/>
                <w:szCs w:val="20"/>
              </w:rPr>
            </w:pPr>
          </w:p>
        </w:tc>
        <w:tc>
          <w:tcPr>
            <w:tcW w:w="1903" w:type="dxa"/>
          </w:tcPr>
          <w:p w14:paraId="4480F609" w14:textId="77777777" w:rsidR="00E471A3" w:rsidRDefault="00E471A3" w:rsidP="00B5034C">
            <w:pPr>
              <w:tabs>
                <w:tab w:val="center" w:pos="6480"/>
              </w:tabs>
              <w:autoSpaceDE w:val="0"/>
              <w:autoSpaceDN w:val="0"/>
              <w:adjustRightInd w:val="0"/>
              <w:rPr>
                <w:rFonts w:cstheme="minorHAnsi"/>
                <w:sz w:val="20"/>
                <w:szCs w:val="20"/>
              </w:rPr>
            </w:pPr>
          </w:p>
        </w:tc>
        <w:tc>
          <w:tcPr>
            <w:tcW w:w="5788" w:type="dxa"/>
          </w:tcPr>
          <w:p w14:paraId="226B7E4E" w14:textId="77777777" w:rsidR="00E471A3" w:rsidRDefault="00E471A3" w:rsidP="00B5034C">
            <w:pPr>
              <w:tabs>
                <w:tab w:val="center" w:pos="6480"/>
              </w:tabs>
              <w:autoSpaceDE w:val="0"/>
              <w:autoSpaceDN w:val="0"/>
              <w:adjustRightInd w:val="0"/>
              <w:rPr>
                <w:rFonts w:cstheme="minorHAnsi"/>
                <w:sz w:val="20"/>
                <w:szCs w:val="20"/>
              </w:rPr>
            </w:pPr>
          </w:p>
        </w:tc>
        <w:tc>
          <w:tcPr>
            <w:tcW w:w="1952" w:type="dxa"/>
          </w:tcPr>
          <w:p w14:paraId="10D9314F" w14:textId="77777777" w:rsidR="00E471A3" w:rsidRDefault="00E471A3" w:rsidP="004D40F9">
            <w:pPr>
              <w:pStyle w:val="ListParagraph"/>
              <w:ind w:left="0"/>
              <w:rPr>
                <w:rFonts w:cstheme="minorHAnsi"/>
                <w:sz w:val="20"/>
                <w:szCs w:val="20"/>
              </w:rPr>
            </w:pPr>
          </w:p>
        </w:tc>
      </w:tr>
      <w:tr w:rsidR="00E471A3" w:rsidRPr="006E751A" w14:paraId="0DA52A0F" w14:textId="77777777" w:rsidTr="00D9229D">
        <w:tc>
          <w:tcPr>
            <w:tcW w:w="10620" w:type="dxa"/>
            <w:gridSpan w:val="4"/>
          </w:tcPr>
          <w:p w14:paraId="51282F23" w14:textId="2856401D" w:rsidR="00E471A3" w:rsidRPr="00E471A3" w:rsidRDefault="00E471A3" w:rsidP="004D40F9">
            <w:pPr>
              <w:pStyle w:val="ListParagraph"/>
              <w:ind w:left="0"/>
              <w:rPr>
                <w:rFonts w:cstheme="minorHAnsi"/>
                <w:b/>
                <w:sz w:val="20"/>
                <w:szCs w:val="20"/>
              </w:rPr>
            </w:pPr>
            <w:r w:rsidRPr="00E471A3">
              <w:rPr>
                <w:rFonts w:cs="SAS Monospace"/>
                <w:b/>
                <w:sz w:val="20"/>
                <w:szCs w:val="20"/>
              </w:rPr>
              <w:t>LAND USE</w:t>
            </w:r>
          </w:p>
        </w:tc>
      </w:tr>
      <w:tr w:rsidR="00E471A3" w:rsidRPr="006E751A" w14:paraId="546D40DD" w14:textId="77777777" w:rsidTr="00604541">
        <w:tc>
          <w:tcPr>
            <w:tcW w:w="977" w:type="dxa"/>
          </w:tcPr>
          <w:p w14:paraId="5F8185E5" w14:textId="1F00B92D"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328</w:t>
            </w:r>
          </w:p>
        </w:tc>
        <w:tc>
          <w:tcPr>
            <w:tcW w:w="1903" w:type="dxa"/>
          </w:tcPr>
          <w:p w14:paraId="06FA797D" w14:textId="79CCC039"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LUsite</w:t>
            </w:r>
          </w:p>
        </w:tc>
        <w:tc>
          <w:tcPr>
            <w:tcW w:w="5788" w:type="dxa"/>
          </w:tcPr>
          <w:p w14:paraId="521354F9" w14:textId="3EF7327C"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Study site for land use data</w:t>
            </w:r>
          </w:p>
        </w:tc>
        <w:tc>
          <w:tcPr>
            <w:tcW w:w="1952" w:type="dxa"/>
          </w:tcPr>
          <w:p w14:paraId="2C58888E" w14:textId="77777777" w:rsidR="00E471A3" w:rsidRDefault="00E471A3" w:rsidP="004D40F9">
            <w:pPr>
              <w:pStyle w:val="ListParagraph"/>
              <w:ind w:left="0"/>
              <w:rPr>
                <w:rFonts w:cstheme="minorHAnsi"/>
                <w:sz w:val="20"/>
                <w:szCs w:val="20"/>
              </w:rPr>
            </w:pPr>
            <w:r>
              <w:rPr>
                <w:rFonts w:cstheme="minorHAnsi"/>
                <w:sz w:val="20"/>
                <w:szCs w:val="20"/>
              </w:rPr>
              <w:t>0 = Outside the study area</w:t>
            </w:r>
          </w:p>
          <w:p w14:paraId="28AB01F1" w14:textId="77777777" w:rsidR="00E471A3" w:rsidRDefault="00E471A3" w:rsidP="004D40F9">
            <w:pPr>
              <w:pStyle w:val="ListParagraph"/>
              <w:ind w:left="0"/>
              <w:rPr>
                <w:rFonts w:cstheme="minorHAnsi"/>
                <w:sz w:val="20"/>
                <w:szCs w:val="20"/>
              </w:rPr>
            </w:pPr>
            <w:r>
              <w:rPr>
                <w:rFonts w:cstheme="minorHAnsi"/>
                <w:sz w:val="20"/>
                <w:szCs w:val="20"/>
              </w:rPr>
              <w:t>3 = Forsyth County</w:t>
            </w:r>
          </w:p>
          <w:p w14:paraId="2B150E95" w14:textId="77777777" w:rsidR="00E471A3" w:rsidRDefault="00E471A3" w:rsidP="004D40F9">
            <w:pPr>
              <w:pStyle w:val="ListParagraph"/>
              <w:ind w:left="0"/>
              <w:rPr>
                <w:rFonts w:cstheme="minorHAnsi"/>
                <w:sz w:val="20"/>
                <w:szCs w:val="20"/>
              </w:rPr>
            </w:pPr>
            <w:r>
              <w:rPr>
                <w:rFonts w:cstheme="minorHAnsi"/>
                <w:sz w:val="20"/>
                <w:szCs w:val="20"/>
              </w:rPr>
              <w:t>4 = New York</w:t>
            </w:r>
          </w:p>
          <w:p w14:paraId="7EF5C4BD" w14:textId="77777777" w:rsidR="00E471A3" w:rsidRDefault="00E471A3" w:rsidP="004D40F9">
            <w:pPr>
              <w:pStyle w:val="ListParagraph"/>
              <w:ind w:left="0"/>
              <w:rPr>
                <w:rFonts w:cstheme="minorHAnsi"/>
                <w:sz w:val="20"/>
                <w:szCs w:val="20"/>
              </w:rPr>
            </w:pPr>
            <w:r>
              <w:rPr>
                <w:rFonts w:cstheme="minorHAnsi"/>
                <w:sz w:val="20"/>
                <w:szCs w:val="20"/>
              </w:rPr>
              <w:t>5 = Baltimore</w:t>
            </w:r>
          </w:p>
          <w:p w14:paraId="2DFCA3E1" w14:textId="77777777" w:rsidR="00E471A3" w:rsidRDefault="00E471A3" w:rsidP="004D40F9">
            <w:pPr>
              <w:pStyle w:val="ListParagraph"/>
              <w:ind w:left="0"/>
              <w:rPr>
                <w:rFonts w:cstheme="minorHAnsi"/>
                <w:sz w:val="20"/>
                <w:szCs w:val="20"/>
              </w:rPr>
            </w:pPr>
            <w:r>
              <w:rPr>
                <w:rFonts w:cstheme="minorHAnsi"/>
                <w:sz w:val="20"/>
                <w:szCs w:val="20"/>
              </w:rPr>
              <w:t>6 = Minneapolis-St Paul</w:t>
            </w:r>
          </w:p>
          <w:p w14:paraId="1D3BD5FF" w14:textId="77777777" w:rsidR="00E471A3" w:rsidRDefault="00E471A3" w:rsidP="004D40F9">
            <w:pPr>
              <w:pStyle w:val="ListParagraph"/>
              <w:ind w:left="0"/>
              <w:rPr>
                <w:rFonts w:cstheme="minorHAnsi"/>
                <w:sz w:val="20"/>
                <w:szCs w:val="20"/>
              </w:rPr>
            </w:pPr>
            <w:r>
              <w:rPr>
                <w:rFonts w:cstheme="minorHAnsi"/>
                <w:sz w:val="20"/>
                <w:szCs w:val="20"/>
              </w:rPr>
              <w:t>7 = Chicago</w:t>
            </w:r>
          </w:p>
          <w:p w14:paraId="4AAFC6DF" w14:textId="1A52FD7F" w:rsidR="00E471A3" w:rsidRDefault="00E471A3" w:rsidP="004D40F9">
            <w:pPr>
              <w:pStyle w:val="ListParagraph"/>
              <w:ind w:left="0"/>
              <w:rPr>
                <w:rFonts w:cstheme="minorHAnsi"/>
                <w:sz w:val="20"/>
                <w:szCs w:val="20"/>
              </w:rPr>
            </w:pPr>
            <w:r>
              <w:rPr>
                <w:rFonts w:cstheme="minorHAnsi"/>
                <w:sz w:val="20"/>
                <w:szCs w:val="20"/>
              </w:rPr>
              <w:t>8 = Los Angeles</w:t>
            </w:r>
          </w:p>
        </w:tc>
      </w:tr>
      <w:tr w:rsidR="00E471A3" w:rsidRPr="006E751A" w14:paraId="5DE724CE" w14:textId="77777777" w:rsidTr="00604541">
        <w:tc>
          <w:tcPr>
            <w:tcW w:w="977" w:type="dxa"/>
          </w:tcPr>
          <w:p w14:paraId="4D1DA249" w14:textId="077BE2C8"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329</w:t>
            </w:r>
          </w:p>
        </w:tc>
        <w:tc>
          <w:tcPr>
            <w:tcW w:w="1903" w:type="dxa"/>
          </w:tcPr>
          <w:p w14:paraId="04E799CC" w14:textId="36B7D45F"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LUYRD</w:t>
            </w:r>
          </w:p>
        </w:tc>
        <w:tc>
          <w:tcPr>
            <w:tcW w:w="5788" w:type="dxa"/>
          </w:tcPr>
          <w:p w14:paraId="4403E154" w14:textId="105F00A1"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Number of years between land use data collection and exam. Calculated by (Exam year – Data collection year).</w:t>
            </w:r>
          </w:p>
        </w:tc>
        <w:tc>
          <w:tcPr>
            <w:tcW w:w="1952" w:type="dxa"/>
          </w:tcPr>
          <w:p w14:paraId="4A2536D1" w14:textId="77777777" w:rsidR="00E471A3" w:rsidRDefault="00E471A3" w:rsidP="00D9229D">
            <w:pPr>
              <w:pStyle w:val="ListParagraph"/>
              <w:ind w:left="0"/>
              <w:rPr>
                <w:rFonts w:cstheme="minorHAnsi"/>
                <w:sz w:val="20"/>
                <w:szCs w:val="20"/>
              </w:rPr>
            </w:pPr>
            <w:r>
              <w:rPr>
                <w:rFonts w:cstheme="minorHAnsi"/>
                <w:sz w:val="20"/>
                <w:szCs w:val="20"/>
              </w:rPr>
              <w:t>0 = Data collection in same year as exam</w:t>
            </w:r>
          </w:p>
          <w:p w14:paraId="10B4D2AF" w14:textId="77777777" w:rsidR="00E471A3" w:rsidRDefault="00E471A3" w:rsidP="00D9229D">
            <w:pPr>
              <w:pStyle w:val="ListParagraph"/>
              <w:ind w:left="0"/>
              <w:rPr>
                <w:rFonts w:cstheme="minorHAnsi"/>
                <w:sz w:val="20"/>
                <w:szCs w:val="20"/>
              </w:rPr>
            </w:pPr>
            <w:r>
              <w:rPr>
                <w:rFonts w:cstheme="minorHAnsi"/>
                <w:sz w:val="20"/>
                <w:szCs w:val="20"/>
              </w:rPr>
              <w:t>&lt;0 = Data collection was after exam</w:t>
            </w:r>
          </w:p>
          <w:p w14:paraId="63E83286" w14:textId="0403467D" w:rsidR="00E471A3" w:rsidRDefault="00E471A3" w:rsidP="004D40F9">
            <w:pPr>
              <w:pStyle w:val="ListParagraph"/>
              <w:ind w:left="0"/>
              <w:rPr>
                <w:rFonts w:cstheme="minorHAnsi"/>
                <w:sz w:val="20"/>
                <w:szCs w:val="20"/>
              </w:rPr>
            </w:pPr>
            <w:r>
              <w:rPr>
                <w:rFonts w:cstheme="minorHAnsi"/>
                <w:sz w:val="20"/>
                <w:szCs w:val="20"/>
              </w:rPr>
              <w:t>&gt;0 = Data collection was before exam</w:t>
            </w:r>
          </w:p>
        </w:tc>
      </w:tr>
      <w:tr w:rsidR="00E471A3" w:rsidRPr="006E751A" w14:paraId="4673B045" w14:textId="77777777" w:rsidTr="00604541">
        <w:tc>
          <w:tcPr>
            <w:tcW w:w="977" w:type="dxa"/>
          </w:tcPr>
          <w:p w14:paraId="7BCC25D2" w14:textId="5F3E2121"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330</w:t>
            </w:r>
          </w:p>
        </w:tc>
        <w:tc>
          <w:tcPr>
            <w:tcW w:w="1903" w:type="dxa"/>
          </w:tcPr>
          <w:p w14:paraId="61D3E1D9" w14:textId="3E898B62"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PCTLU0</w:t>
            </w:r>
          </w:p>
        </w:tc>
        <w:tc>
          <w:tcPr>
            <w:tcW w:w="5788" w:type="dxa"/>
          </w:tcPr>
          <w:p w14:paraId="188C25B7" w14:textId="3DB50D03"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Percent of 1/2 mile buffer in land use data area</w:t>
            </w:r>
          </w:p>
        </w:tc>
        <w:tc>
          <w:tcPr>
            <w:tcW w:w="1952" w:type="dxa"/>
          </w:tcPr>
          <w:p w14:paraId="538F95D3" w14:textId="77777777" w:rsidR="00E471A3" w:rsidRDefault="00E471A3" w:rsidP="00D9229D">
            <w:pPr>
              <w:pStyle w:val="ListParagraph"/>
              <w:ind w:left="0"/>
              <w:rPr>
                <w:rFonts w:cstheme="minorHAnsi"/>
                <w:sz w:val="20"/>
                <w:szCs w:val="20"/>
              </w:rPr>
            </w:pPr>
          </w:p>
        </w:tc>
      </w:tr>
      <w:tr w:rsidR="00E471A3" w:rsidRPr="006E751A" w14:paraId="328144DA" w14:textId="77777777" w:rsidTr="00604541">
        <w:tc>
          <w:tcPr>
            <w:tcW w:w="977" w:type="dxa"/>
          </w:tcPr>
          <w:p w14:paraId="1E53B2EA" w14:textId="243B3990"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331</w:t>
            </w:r>
          </w:p>
        </w:tc>
        <w:tc>
          <w:tcPr>
            <w:tcW w:w="1903" w:type="dxa"/>
          </w:tcPr>
          <w:p w14:paraId="0C0374B5" w14:textId="3F0EFD45"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PRES0</w:t>
            </w:r>
          </w:p>
        </w:tc>
        <w:tc>
          <w:tcPr>
            <w:tcW w:w="5788" w:type="dxa"/>
          </w:tcPr>
          <w:p w14:paraId="7BA0F1FB" w14:textId="3D171376"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1/2 mile buffer percent of land devoted to residential use.</w:t>
            </w:r>
          </w:p>
        </w:tc>
        <w:tc>
          <w:tcPr>
            <w:tcW w:w="1952" w:type="dxa"/>
          </w:tcPr>
          <w:p w14:paraId="68702D28" w14:textId="77777777" w:rsidR="00E471A3" w:rsidRDefault="00E471A3" w:rsidP="00D9229D">
            <w:pPr>
              <w:pStyle w:val="ListParagraph"/>
              <w:ind w:left="0"/>
              <w:rPr>
                <w:rFonts w:cstheme="minorHAnsi"/>
                <w:sz w:val="20"/>
                <w:szCs w:val="20"/>
              </w:rPr>
            </w:pPr>
          </w:p>
        </w:tc>
      </w:tr>
      <w:tr w:rsidR="00E471A3" w:rsidRPr="006E751A" w14:paraId="1F5A0682" w14:textId="77777777" w:rsidTr="00604541">
        <w:tc>
          <w:tcPr>
            <w:tcW w:w="977" w:type="dxa"/>
          </w:tcPr>
          <w:p w14:paraId="141AD6D6" w14:textId="5BB86AB6"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332</w:t>
            </w:r>
          </w:p>
        </w:tc>
        <w:tc>
          <w:tcPr>
            <w:tcW w:w="1903" w:type="dxa"/>
          </w:tcPr>
          <w:p w14:paraId="64B0829E" w14:textId="1E3C5B34"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PRET0</w:t>
            </w:r>
          </w:p>
        </w:tc>
        <w:tc>
          <w:tcPr>
            <w:tcW w:w="5788" w:type="dxa"/>
          </w:tcPr>
          <w:p w14:paraId="628FE50D" w14:textId="0C838AE6"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1/2 mile buffer percent of land devoted to retail use.</w:t>
            </w:r>
          </w:p>
        </w:tc>
        <w:tc>
          <w:tcPr>
            <w:tcW w:w="1952" w:type="dxa"/>
          </w:tcPr>
          <w:p w14:paraId="45531504" w14:textId="77777777" w:rsidR="00E471A3" w:rsidRDefault="00E471A3" w:rsidP="00D9229D">
            <w:pPr>
              <w:pStyle w:val="ListParagraph"/>
              <w:ind w:left="0"/>
              <w:rPr>
                <w:rFonts w:cstheme="minorHAnsi"/>
                <w:sz w:val="20"/>
                <w:szCs w:val="20"/>
              </w:rPr>
            </w:pPr>
          </w:p>
        </w:tc>
      </w:tr>
      <w:tr w:rsidR="00E471A3" w:rsidRPr="006E751A" w14:paraId="4E7ECFE3" w14:textId="77777777" w:rsidTr="00604541">
        <w:tc>
          <w:tcPr>
            <w:tcW w:w="977" w:type="dxa"/>
          </w:tcPr>
          <w:p w14:paraId="2DAC3D1E" w14:textId="71FA0730"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333</w:t>
            </w:r>
          </w:p>
        </w:tc>
        <w:tc>
          <w:tcPr>
            <w:tcW w:w="1903" w:type="dxa"/>
          </w:tcPr>
          <w:p w14:paraId="43B17154" w14:textId="36C65A65"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PCOM0</w:t>
            </w:r>
          </w:p>
        </w:tc>
        <w:tc>
          <w:tcPr>
            <w:tcW w:w="5788" w:type="dxa"/>
          </w:tcPr>
          <w:p w14:paraId="09557DA8" w14:textId="7286B3FF"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1/2 mile buffer percent of land devoted to commercial use.</w:t>
            </w:r>
          </w:p>
        </w:tc>
        <w:tc>
          <w:tcPr>
            <w:tcW w:w="1952" w:type="dxa"/>
          </w:tcPr>
          <w:p w14:paraId="2FC25D37" w14:textId="77777777" w:rsidR="00E471A3" w:rsidRDefault="00E471A3" w:rsidP="00D9229D">
            <w:pPr>
              <w:pStyle w:val="ListParagraph"/>
              <w:ind w:left="0"/>
              <w:rPr>
                <w:rFonts w:cstheme="minorHAnsi"/>
                <w:sz w:val="20"/>
                <w:szCs w:val="20"/>
              </w:rPr>
            </w:pPr>
          </w:p>
        </w:tc>
      </w:tr>
      <w:tr w:rsidR="00E471A3" w:rsidRPr="006E751A" w14:paraId="0B2F1124" w14:textId="77777777" w:rsidTr="00604541">
        <w:tc>
          <w:tcPr>
            <w:tcW w:w="977" w:type="dxa"/>
          </w:tcPr>
          <w:p w14:paraId="523D6740" w14:textId="02947293"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334</w:t>
            </w:r>
          </w:p>
        </w:tc>
        <w:tc>
          <w:tcPr>
            <w:tcW w:w="1903" w:type="dxa"/>
          </w:tcPr>
          <w:p w14:paraId="18AEF425" w14:textId="265C1043"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A_PRES0</w:t>
            </w:r>
          </w:p>
        </w:tc>
        <w:tc>
          <w:tcPr>
            <w:tcW w:w="5788" w:type="dxa"/>
          </w:tcPr>
          <w:p w14:paraId="0AD8E684" w14:textId="5BFF50E7"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Cumulative average of 1/2 mile buffer percent of land devoted to residential use.</w:t>
            </w:r>
          </w:p>
        </w:tc>
        <w:tc>
          <w:tcPr>
            <w:tcW w:w="1952" w:type="dxa"/>
          </w:tcPr>
          <w:p w14:paraId="3E101CD6" w14:textId="77777777" w:rsidR="00E471A3" w:rsidRDefault="00E471A3" w:rsidP="00D9229D">
            <w:pPr>
              <w:pStyle w:val="ListParagraph"/>
              <w:ind w:left="0"/>
              <w:rPr>
                <w:rFonts w:cstheme="minorHAnsi"/>
                <w:sz w:val="20"/>
                <w:szCs w:val="20"/>
              </w:rPr>
            </w:pPr>
          </w:p>
        </w:tc>
      </w:tr>
      <w:tr w:rsidR="00E471A3" w:rsidRPr="006E751A" w14:paraId="35F0539B" w14:textId="77777777" w:rsidTr="00604541">
        <w:tc>
          <w:tcPr>
            <w:tcW w:w="977" w:type="dxa"/>
          </w:tcPr>
          <w:p w14:paraId="3BBB29AD" w14:textId="13FC30B8"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335</w:t>
            </w:r>
          </w:p>
        </w:tc>
        <w:tc>
          <w:tcPr>
            <w:tcW w:w="1903" w:type="dxa"/>
          </w:tcPr>
          <w:p w14:paraId="163AAACA" w14:textId="34E8B454"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A_PRET0</w:t>
            </w:r>
          </w:p>
        </w:tc>
        <w:tc>
          <w:tcPr>
            <w:tcW w:w="5788" w:type="dxa"/>
          </w:tcPr>
          <w:p w14:paraId="63B6D229" w14:textId="6CCF98FD"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 xml:space="preserve">Cumulative average of 1/2 mile buffer percent of land devoted to </w:t>
            </w:r>
            <w:r>
              <w:rPr>
                <w:rFonts w:cstheme="minorHAnsi"/>
                <w:sz w:val="20"/>
                <w:szCs w:val="20"/>
              </w:rPr>
              <w:lastRenderedPageBreak/>
              <w:t>retail use.</w:t>
            </w:r>
          </w:p>
        </w:tc>
        <w:tc>
          <w:tcPr>
            <w:tcW w:w="1952" w:type="dxa"/>
          </w:tcPr>
          <w:p w14:paraId="77A9535F" w14:textId="77777777" w:rsidR="00E471A3" w:rsidRDefault="00E471A3" w:rsidP="00D9229D">
            <w:pPr>
              <w:pStyle w:val="ListParagraph"/>
              <w:ind w:left="0"/>
              <w:rPr>
                <w:rFonts w:cstheme="minorHAnsi"/>
                <w:sz w:val="20"/>
                <w:szCs w:val="20"/>
              </w:rPr>
            </w:pPr>
          </w:p>
        </w:tc>
      </w:tr>
      <w:tr w:rsidR="00E471A3" w:rsidRPr="006E751A" w14:paraId="5D8D5696" w14:textId="77777777" w:rsidTr="00604541">
        <w:tc>
          <w:tcPr>
            <w:tcW w:w="977" w:type="dxa"/>
          </w:tcPr>
          <w:p w14:paraId="15C399F4" w14:textId="4CE5C8FA"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lastRenderedPageBreak/>
              <w:t>336</w:t>
            </w:r>
          </w:p>
        </w:tc>
        <w:tc>
          <w:tcPr>
            <w:tcW w:w="1903" w:type="dxa"/>
          </w:tcPr>
          <w:p w14:paraId="0BF5E3FC" w14:textId="5E5ADA1F"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A_PCOM0</w:t>
            </w:r>
          </w:p>
        </w:tc>
        <w:tc>
          <w:tcPr>
            <w:tcW w:w="5788" w:type="dxa"/>
          </w:tcPr>
          <w:p w14:paraId="7337F2D1" w14:textId="732D1167"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Cumulative average of 1/2 mile buffer percent of land devoted to commercial use.</w:t>
            </w:r>
          </w:p>
        </w:tc>
        <w:tc>
          <w:tcPr>
            <w:tcW w:w="1952" w:type="dxa"/>
          </w:tcPr>
          <w:p w14:paraId="446B2593" w14:textId="77777777" w:rsidR="00E471A3" w:rsidRDefault="00E471A3" w:rsidP="00D9229D">
            <w:pPr>
              <w:pStyle w:val="ListParagraph"/>
              <w:ind w:left="0"/>
              <w:rPr>
                <w:rFonts w:cstheme="minorHAnsi"/>
                <w:sz w:val="20"/>
                <w:szCs w:val="20"/>
              </w:rPr>
            </w:pPr>
          </w:p>
        </w:tc>
      </w:tr>
      <w:tr w:rsidR="00E471A3" w:rsidRPr="006E751A" w14:paraId="247D39C1" w14:textId="77777777" w:rsidTr="00604541">
        <w:tc>
          <w:tcPr>
            <w:tcW w:w="977" w:type="dxa"/>
          </w:tcPr>
          <w:p w14:paraId="3D8F0AE7" w14:textId="0629BA82"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337</w:t>
            </w:r>
          </w:p>
        </w:tc>
        <w:tc>
          <w:tcPr>
            <w:tcW w:w="1903" w:type="dxa"/>
          </w:tcPr>
          <w:p w14:paraId="33A218C9" w14:textId="7C8AD7D9"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PRES0ip</w:t>
            </w:r>
          </w:p>
        </w:tc>
        <w:tc>
          <w:tcPr>
            <w:tcW w:w="5788" w:type="dxa"/>
          </w:tcPr>
          <w:p w14:paraId="6C9D9AD4" w14:textId="5B365B2F"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1/2 mile buffer percent of land devoted to residential use.</w:t>
            </w:r>
          </w:p>
        </w:tc>
        <w:tc>
          <w:tcPr>
            <w:tcW w:w="1952" w:type="dxa"/>
          </w:tcPr>
          <w:p w14:paraId="75499F9D" w14:textId="77777777" w:rsidR="00E471A3" w:rsidRDefault="00E471A3" w:rsidP="00D9229D">
            <w:pPr>
              <w:pStyle w:val="ListParagraph"/>
              <w:ind w:left="0"/>
              <w:rPr>
                <w:rFonts w:cstheme="minorHAnsi"/>
                <w:sz w:val="20"/>
                <w:szCs w:val="20"/>
              </w:rPr>
            </w:pPr>
          </w:p>
        </w:tc>
      </w:tr>
      <w:tr w:rsidR="00E471A3" w:rsidRPr="006E751A" w14:paraId="5DBCD1C6" w14:textId="77777777" w:rsidTr="00604541">
        <w:tc>
          <w:tcPr>
            <w:tcW w:w="977" w:type="dxa"/>
          </w:tcPr>
          <w:p w14:paraId="02A9BC61" w14:textId="09E4B1DF"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338</w:t>
            </w:r>
          </w:p>
        </w:tc>
        <w:tc>
          <w:tcPr>
            <w:tcW w:w="1903" w:type="dxa"/>
          </w:tcPr>
          <w:p w14:paraId="44AC80B2" w14:textId="758796F7"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PRET0ip</w:t>
            </w:r>
          </w:p>
        </w:tc>
        <w:tc>
          <w:tcPr>
            <w:tcW w:w="5788" w:type="dxa"/>
          </w:tcPr>
          <w:p w14:paraId="28D213FF" w14:textId="4F551328"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1/2 mile buffer percent of land devoted to retail use.</w:t>
            </w:r>
          </w:p>
        </w:tc>
        <w:tc>
          <w:tcPr>
            <w:tcW w:w="1952" w:type="dxa"/>
          </w:tcPr>
          <w:p w14:paraId="1E55D443" w14:textId="77777777" w:rsidR="00E471A3" w:rsidRDefault="00E471A3" w:rsidP="00D9229D">
            <w:pPr>
              <w:pStyle w:val="ListParagraph"/>
              <w:ind w:left="0"/>
              <w:rPr>
                <w:rFonts w:cstheme="minorHAnsi"/>
                <w:sz w:val="20"/>
                <w:szCs w:val="20"/>
              </w:rPr>
            </w:pPr>
          </w:p>
        </w:tc>
      </w:tr>
      <w:tr w:rsidR="00E471A3" w:rsidRPr="006E751A" w14:paraId="0FB43224" w14:textId="77777777" w:rsidTr="00604541">
        <w:tc>
          <w:tcPr>
            <w:tcW w:w="977" w:type="dxa"/>
          </w:tcPr>
          <w:p w14:paraId="1FC6732C" w14:textId="258864AC"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339</w:t>
            </w:r>
          </w:p>
        </w:tc>
        <w:tc>
          <w:tcPr>
            <w:tcW w:w="1903" w:type="dxa"/>
          </w:tcPr>
          <w:p w14:paraId="1B3D33CE" w14:textId="6DB77A96"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PCOM0ip</w:t>
            </w:r>
          </w:p>
        </w:tc>
        <w:tc>
          <w:tcPr>
            <w:tcW w:w="5788" w:type="dxa"/>
          </w:tcPr>
          <w:p w14:paraId="15F930FE" w14:textId="0DCCD3C1"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1/2 mile buffer percent of land devoted to commercial use.</w:t>
            </w:r>
          </w:p>
        </w:tc>
        <w:tc>
          <w:tcPr>
            <w:tcW w:w="1952" w:type="dxa"/>
          </w:tcPr>
          <w:p w14:paraId="13D93ADF" w14:textId="77777777" w:rsidR="00E471A3" w:rsidRDefault="00E471A3" w:rsidP="00D9229D">
            <w:pPr>
              <w:pStyle w:val="ListParagraph"/>
              <w:ind w:left="0"/>
              <w:rPr>
                <w:rFonts w:cstheme="minorHAnsi"/>
                <w:sz w:val="20"/>
                <w:szCs w:val="20"/>
              </w:rPr>
            </w:pPr>
          </w:p>
        </w:tc>
      </w:tr>
      <w:tr w:rsidR="00E471A3" w:rsidRPr="006E751A" w14:paraId="742EA9DE" w14:textId="77777777" w:rsidTr="00604541">
        <w:tc>
          <w:tcPr>
            <w:tcW w:w="977" w:type="dxa"/>
          </w:tcPr>
          <w:p w14:paraId="4834AAD9" w14:textId="555D36A8" w:rsidR="00E471A3" w:rsidRDefault="00E471A3" w:rsidP="00B5034C">
            <w:pPr>
              <w:tabs>
                <w:tab w:val="center" w:pos="6480"/>
              </w:tabs>
              <w:autoSpaceDE w:val="0"/>
              <w:autoSpaceDN w:val="0"/>
              <w:adjustRightInd w:val="0"/>
              <w:rPr>
                <w:rFonts w:cs="SAS Monospace"/>
                <w:sz w:val="20"/>
                <w:szCs w:val="20"/>
              </w:rPr>
            </w:pPr>
            <w:r>
              <w:rPr>
                <w:rFonts w:cs="SAS Monospace"/>
                <w:sz w:val="20"/>
                <w:szCs w:val="20"/>
              </w:rPr>
              <w:t>340</w:t>
            </w:r>
          </w:p>
        </w:tc>
        <w:tc>
          <w:tcPr>
            <w:tcW w:w="1903" w:type="dxa"/>
          </w:tcPr>
          <w:p w14:paraId="278B18E1" w14:textId="1E600A97"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PCTLU1</w:t>
            </w:r>
          </w:p>
        </w:tc>
        <w:tc>
          <w:tcPr>
            <w:tcW w:w="5788" w:type="dxa"/>
          </w:tcPr>
          <w:p w14:paraId="1E46459C" w14:textId="6ECEAE6A"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Percent of 1 mile buffer in land use data area</w:t>
            </w:r>
          </w:p>
        </w:tc>
        <w:tc>
          <w:tcPr>
            <w:tcW w:w="1952" w:type="dxa"/>
          </w:tcPr>
          <w:p w14:paraId="08E92B4C" w14:textId="77777777" w:rsidR="00E471A3" w:rsidRDefault="00E471A3" w:rsidP="00D9229D">
            <w:pPr>
              <w:pStyle w:val="ListParagraph"/>
              <w:ind w:left="0"/>
              <w:rPr>
                <w:rFonts w:cstheme="minorHAnsi"/>
                <w:sz w:val="20"/>
                <w:szCs w:val="20"/>
              </w:rPr>
            </w:pPr>
          </w:p>
        </w:tc>
      </w:tr>
      <w:tr w:rsidR="00E471A3" w:rsidRPr="006E751A" w14:paraId="21DB5A69" w14:textId="77777777" w:rsidTr="00604541">
        <w:tc>
          <w:tcPr>
            <w:tcW w:w="977" w:type="dxa"/>
          </w:tcPr>
          <w:p w14:paraId="4451C2F6" w14:textId="5F0EAF8F"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341</w:t>
            </w:r>
          </w:p>
        </w:tc>
        <w:tc>
          <w:tcPr>
            <w:tcW w:w="1903" w:type="dxa"/>
          </w:tcPr>
          <w:p w14:paraId="0FB125AC" w14:textId="0AB0B6BC"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PRES1</w:t>
            </w:r>
          </w:p>
        </w:tc>
        <w:tc>
          <w:tcPr>
            <w:tcW w:w="5788" w:type="dxa"/>
          </w:tcPr>
          <w:p w14:paraId="19FEE3D8" w14:textId="2D885A22"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 mile buffer percent of land devoted to residential use.</w:t>
            </w:r>
          </w:p>
        </w:tc>
        <w:tc>
          <w:tcPr>
            <w:tcW w:w="1952" w:type="dxa"/>
          </w:tcPr>
          <w:p w14:paraId="62779D53" w14:textId="77777777" w:rsidR="00E471A3" w:rsidRDefault="00E471A3" w:rsidP="00D9229D">
            <w:pPr>
              <w:pStyle w:val="ListParagraph"/>
              <w:ind w:left="0"/>
              <w:rPr>
                <w:rFonts w:cstheme="minorHAnsi"/>
                <w:sz w:val="20"/>
                <w:szCs w:val="20"/>
              </w:rPr>
            </w:pPr>
          </w:p>
        </w:tc>
      </w:tr>
      <w:tr w:rsidR="00E471A3" w:rsidRPr="006E751A" w14:paraId="583C3369" w14:textId="77777777" w:rsidTr="00604541">
        <w:tc>
          <w:tcPr>
            <w:tcW w:w="977" w:type="dxa"/>
          </w:tcPr>
          <w:p w14:paraId="4F3B2427" w14:textId="62F685D8"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342</w:t>
            </w:r>
          </w:p>
        </w:tc>
        <w:tc>
          <w:tcPr>
            <w:tcW w:w="1903" w:type="dxa"/>
          </w:tcPr>
          <w:p w14:paraId="2AE6BDC4" w14:textId="11835673"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PRET1</w:t>
            </w:r>
          </w:p>
        </w:tc>
        <w:tc>
          <w:tcPr>
            <w:tcW w:w="5788" w:type="dxa"/>
          </w:tcPr>
          <w:p w14:paraId="710ADA9F" w14:textId="49404EF0"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 mile buffer percent of land devoted to retail use.</w:t>
            </w:r>
          </w:p>
        </w:tc>
        <w:tc>
          <w:tcPr>
            <w:tcW w:w="1952" w:type="dxa"/>
          </w:tcPr>
          <w:p w14:paraId="4871FE79" w14:textId="77777777" w:rsidR="00E471A3" w:rsidRDefault="00E471A3" w:rsidP="00D9229D">
            <w:pPr>
              <w:pStyle w:val="ListParagraph"/>
              <w:ind w:left="0"/>
              <w:rPr>
                <w:rFonts w:cstheme="minorHAnsi"/>
                <w:sz w:val="20"/>
                <w:szCs w:val="20"/>
              </w:rPr>
            </w:pPr>
          </w:p>
        </w:tc>
      </w:tr>
      <w:tr w:rsidR="00E471A3" w:rsidRPr="006E751A" w14:paraId="3A8C196B" w14:textId="77777777" w:rsidTr="00604541">
        <w:tc>
          <w:tcPr>
            <w:tcW w:w="977" w:type="dxa"/>
          </w:tcPr>
          <w:p w14:paraId="15003CBE" w14:textId="267991DA"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343</w:t>
            </w:r>
          </w:p>
        </w:tc>
        <w:tc>
          <w:tcPr>
            <w:tcW w:w="1903" w:type="dxa"/>
          </w:tcPr>
          <w:p w14:paraId="45271160" w14:textId="4CEAB2B3" w:rsidR="00E471A3" w:rsidRDefault="00E471A3" w:rsidP="00B5034C">
            <w:pPr>
              <w:tabs>
                <w:tab w:val="center" w:pos="6480"/>
              </w:tabs>
              <w:autoSpaceDE w:val="0"/>
              <w:autoSpaceDN w:val="0"/>
              <w:adjustRightInd w:val="0"/>
              <w:rPr>
                <w:rFonts w:cstheme="minorHAnsi"/>
                <w:sz w:val="20"/>
                <w:szCs w:val="20"/>
              </w:rPr>
            </w:pPr>
            <w:r>
              <w:rPr>
                <w:rFonts w:cstheme="minorHAnsi"/>
                <w:sz w:val="20"/>
                <w:szCs w:val="20"/>
              </w:rPr>
              <w:t>PCOM1</w:t>
            </w:r>
          </w:p>
        </w:tc>
        <w:tc>
          <w:tcPr>
            <w:tcW w:w="5788" w:type="dxa"/>
          </w:tcPr>
          <w:p w14:paraId="06D26D3D" w14:textId="559E1F7F"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1 mile buffer percent of land devoted to commercial use.</w:t>
            </w:r>
          </w:p>
        </w:tc>
        <w:tc>
          <w:tcPr>
            <w:tcW w:w="1952" w:type="dxa"/>
          </w:tcPr>
          <w:p w14:paraId="51B57D13" w14:textId="77777777" w:rsidR="00E471A3" w:rsidRDefault="00E471A3" w:rsidP="00D9229D">
            <w:pPr>
              <w:pStyle w:val="ListParagraph"/>
              <w:ind w:left="0"/>
              <w:rPr>
                <w:rFonts w:cstheme="minorHAnsi"/>
                <w:sz w:val="20"/>
                <w:szCs w:val="20"/>
              </w:rPr>
            </w:pPr>
          </w:p>
        </w:tc>
      </w:tr>
      <w:tr w:rsidR="00E471A3" w:rsidRPr="006E751A" w14:paraId="3EC22C0A" w14:textId="77777777" w:rsidTr="00604541">
        <w:tc>
          <w:tcPr>
            <w:tcW w:w="977" w:type="dxa"/>
          </w:tcPr>
          <w:p w14:paraId="2B5EB32F" w14:textId="20DD1EA1"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344</w:t>
            </w:r>
          </w:p>
        </w:tc>
        <w:tc>
          <w:tcPr>
            <w:tcW w:w="1903" w:type="dxa"/>
          </w:tcPr>
          <w:p w14:paraId="6B0CEDB6" w14:textId="2E2B3F94"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A_PRES1</w:t>
            </w:r>
          </w:p>
        </w:tc>
        <w:tc>
          <w:tcPr>
            <w:tcW w:w="5788" w:type="dxa"/>
          </w:tcPr>
          <w:p w14:paraId="6A083E93" w14:textId="11A0279E"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Cumulative average of 1 mile buffer percent of land devoted to residential use.</w:t>
            </w:r>
          </w:p>
        </w:tc>
        <w:tc>
          <w:tcPr>
            <w:tcW w:w="1952" w:type="dxa"/>
          </w:tcPr>
          <w:p w14:paraId="595576FA" w14:textId="77777777" w:rsidR="00E471A3" w:rsidRDefault="00E471A3" w:rsidP="00D9229D">
            <w:pPr>
              <w:pStyle w:val="ListParagraph"/>
              <w:ind w:left="0"/>
              <w:rPr>
                <w:rFonts w:cstheme="minorHAnsi"/>
                <w:sz w:val="20"/>
                <w:szCs w:val="20"/>
              </w:rPr>
            </w:pPr>
          </w:p>
        </w:tc>
      </w:tr>
      <w:tr w:rsidR="00E471A3" w:rsidRPr="006E751A" w14:paraId="025C3798" w14:textId="77777777" w:rsidTr="00604541">
        <w:tc>
          <w:tcPr>
            <w:tcW w:w="977" w:type="dxa"/>
          </w:tcPr>
          <w:p w14:paraId="0D1A780A" w14:textId="5DECD66F"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345</w:t>
            </w:r>
          </w:p>
        </w:tc>
        <w:tc>
          <w:tcPr>
            <w:tcW w:w="1903" w:type="dxa"/>
          </w:tcPr>
          <w:p w14:paraId="4B7BC6D6" w14:textId="4C32CE95"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A_PRET1</w:t>
            </w:r>
          </w:p>
        </w:tc>
        <w:tc>
          <w:tcPr>
            <w:tcW w:w="5788" w:type="dxa"/>
          </w:tcPr>
          <w:p w14:paraId="6687EA37" w14:textId="0B69BB67"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Cumulative average of 1 mile buffer percent of land devoted to retail use.</w:t>
            </w:r>
          </w:p>
        </w:tc>
        <w:tc>
          <w:tcPr>
            <w:tcW w:w="1952" w:type="dxa"/>
          </w:tcPr>
          <w:p w14:paraId="07311E18" w14:textId="77777777" w:rsidR="00E471A3" w:rsidRDefault="00E471A3" w:rsidP="00D9229D">
            <w:pPr>
              <w:pStyle w:val="ListParagraph"/>
              <w:ind w:left="0"/>
              <w:rPr>
                <w:rFonts w:cstheme="minorHAnsi"/>
                <w:sz w:val="20"/>
                <w:szCs w:val="20"/>
              </w:rPr>
            </w:pPr>
          </w:p>
        </w:tc>
      </w:tr>
      <w:tr w:rsidR="00E471A3" w:rsidRPr="006E751A" w14:paraId="3E2FF736" w14:textId="77777777" w:rsidTr="00604541">
        <w:tc>
          <w:tcPr>
            <w:tcW w:w="977" w:type="dxa"/>
          </w:tcPr>
          <w:p w14:paraId="62856397" w14:textId="61EB5942"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346</w:t>
            </w:r>
          </w:p>
        </w:tc>
        <w:tc>
          <w:tcPr>
            <w:tcW w:w="1903" w:type="dxa"/>
          </w:tcPr>
          <w:p w14:paraId="324A78BD" w14:textId="542BFE59"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A_PCOM1</w:t>
            </w:r>
          </w:p>
        </w:tc>
        <w:tc>
          <w:tcPr>
            <w:tcW w:w="5788" w:type="dxa"/>
          </w:tcPr>
          <w:p w14:paraId="6E06BF2D" w14:textId="72471A5C"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Cumulative average of 1 mile buffer percent of land devoted to commercial use.</w:t>
            </w:r>
          </w:p>
        </w:tc>
        <w:tc>
          <w:tcPr>
            <w:tcW w:w="1952" w:type="dxa"/>
          </w:tcPr>
          <w:p w14:paraId="13E11D5B" w14:textId="77777777" w:rsidR="00E471A3" w:rsidRDefault="00E471A3" w:rsidP="00D9229D">
            <w:pPr>
              <w:pStyle w:val="ListParagraph"/>
              <w:ind w:left="0"/>
              <w:rPr>
                <w:rFonts w:cstheme="minorHAnsi"/>
                <w:sz w:val="20"/>
                <w:szCs w:val="20"/>
              </w:rPr>
            </w:pPr>
          </w:p>
        </w:tc>
      </w:tr>
      <w:tr w:rsidR="00E471A3" w:rsidRPr="006E751A" w14:paraId="3B65EC46" w14:textId="77777777" w:rsidTr="00604541">
        <w:tc>
          <w:tcPr>
            <w:tcW w:w="977" w:type="dxa"/>
          </w:tcPr>
          <w:p w14:paraId="4F0E99B3" w14:textId="1CCC1943"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347</w:t>
            </w:r>
          </w:p>
        </w:tc>
        <w:tc>
          <w:tcPr>
            <w:tcW w:w="1903" w:type="dxa"/>
          </w:tcPr>
          <w:p w14:paraId="7E2B38CC" w14:textId="36C97C77"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PRES1ip</w:t>
            </w:r>
          </w:p>
        </w:tc>
        <w:tc>
          <w:tcPr>
            <w:tcW w:w="5788" w:type="dxa"/>
          </w:tcPr>
          <w:p w14:paraId="5B2EE2F8" w14:textId="2CCB2140"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 mile buffer percent of land devoted to residential use.</w:t>
            </w:r>
          </w:p>
        </w:tc>
        <w:tc>
          <w:tcPr>
            <w:tcW w:w="1952" w:type="dxa"/>
          </w:tcPr>
          <w:p w14:paraId="30C61D7C" w14:textId="77777777" w:rsidR="00E471A3" w:rsidRDefault="00E471A3" w:rsidP="00D9229D">
            <w:pPr>
              <w:pStyle w:val="ListParagraph"/>
              <w:ind w:left="0"/>
              <w:rPr>
                <w:rFonts w:cstheme="minorHAnsi"/>
                <w:sz w:val="20"/>
                <w:szCs w:val="20"/>
              </w:rPr>
            </w:pPr>
          </w:p>
        </w:tc>
      </w:tr>
      <w:tr w:rsidR="00E471A3" w:rsidRPr="006E751A" w14:paraId="3F198B0C" w14:textId="77777777" w:rsidTr="00604541">
        <w:tc>
          <w:tcPr>
            <w:tcW w:w="977" w:type="dxa"/>
          </w:tcPr>
          <w:p w14:paraId="3CFF0F99" w14:textId="5CF1E279"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348</w:t>
            </w:r>
          </w:p>
        </w:tc>
        <w:tc>
          <w:tcPr>
            <w:tcW w:w="1903" w:type="dxa"/>
          </w:tcPr>
          <w:p w14:paraId="200638B3" w14:textId="6AB8BCCA"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PRET1ip</w:t>
            </w:r>
          </w:p>
        </w:tc>
        <w:tc>
          <w:tcPr>
            <w:tcW w:w="5788" w:type="dxa"/>
          </w:tcPr>
          <w:p w14:paraId="29B9F5E2" w14:textId="73896CC0"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 mile buffer percent of land devoted to retail use.</w:t>
            </w:r>
          </w:p>
        </w:tc>
        <w:tc>
          <w:tcPr>
            <w:tcW w:w="1952" w:type="dxa"/>
          </w:tcPr>
          <w:p w14:paraId="5E1AA42F" w14:textId="77777777" w:rsidR="00E471A3" w:rsidRDefault="00E471A3" w:rsidP="00D9229D">
            <w:pPr>
              <w:pStyle w:val="ListParagraph"/>
              <w:ind w:left="0"/>
              <w:rPr>
                <w:rFonts w:cstheme="minorHAnsi"/>
                <w:sz w:val="20"/>
                <w:szCs w:val="20"/>
              </w:rPr>
            </w:pPr>
          </w:p>
        </w:tc>
      </w:tr>
      <w:tr w:rsidR="00E471A3" w:rsidRPr="006E751A" w14:paraId="6E4EE874" w14:textId="77777777" w:rsidTr="00604541">
        <w:tc>
          <w:tcPr>
            <w:tcW w:w="977" w:type="dxa"/>
          </w:tcPr>
          <w:p w14:paraId="02407AAB" w14:textId="468A3292" w:rsidR="00E471A3" w:rsidRDefault="00E471A3" w:rsidP="00E471A3">
            <w:pPr>
              <w:tabs>
                <w:tab w:val="center" w:pos="6480"/>
              </w:tabs>
              <w:autoSpaceDE w:val="0"/>
              <w:autoSpaceDN w:val="0"/>
              <w:adjustRightInd w:val="0"/>
              <w:rPr>
                <w:rFonts w:cs="SAS Monospace"/>
                <w:sz w:val="20"/>
                <w:szCs w:val="20"/>
              </w:rPr>
            </w:pPr>
            <w:r>
              <w:rPr>
                <w:rFonts w:cs="SAS Monospace"/>
                <w:sz w:val="20"/>
                <w:szCs w:val="20"/>
              </w:rPr>
              <w:t>349</w:t>
            </w:r>
          </w:p>
        </w:tc>
        <w:tc>
          <w:tcPr>
            <w:tcW w:w="1903" w:type="dxa"/>
          </w:tcPr>
          <w:p w14:paraId="7EAE99FB" w14:textId="4C2F903C"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PCOM1ip</w:t>
            </w:r>
          </w:p>
        </w:tc>
        <w:tc>
          <w:tcPr>
            <w:tcW w:w="5788" w:type="dxa"/>
          </w:tcPr>
          <w:p w14:paraId="0B56244E" w14:textId="07C76866" w:rsidR="00E471A3" w:rsidRDefault="00E471A3" w:rsidP="00E471A3">
            <w:pPr>
              <w:tabs>
                <w:tab w:val="center" w:pos="6480"/>
              </w:tabs>
              <w:autoSpaceDE w:val="0"/>
              <w:autoSpaceDN w:val="0"/>
              <w:adjustRightInd w:val="0"/>
              <w:rPr>
                <w:rFonts w:cstheme="minorHAnsi"/>
                <w:sz w:val="20"/>
                <w:szCs w:val="20"/>
              </w:rPr>
            </w:pPr>
            <w:r>
              <w:rPr>
                <w:rFonts w:cstheme="minorHAnsi"/>
                <w:sz w:val="20"/>
                <w:szCs w:val="20"/>
              </w:rPr>
              <w:t>Interpolated 1 mile buffer percent of land devoted to commercial use.</w:t>
            </w:r>
          </w:p>
        </w:tc>
        <w:tc>
          <w:tcPr>
            <w:tcW w:w="1952" w:type="dxa"/>
          </w:tcPr>
          <w:p w14:paraId="02BB80F5" w14:textId="77777777" w:rsidR="00E471A3" w:rsidRDefault="00E471A3" w:rsidP="00D9229D">
            <w:pPr>
              <w:pStyle w:val="ListParagraph"/>
              <w:ind w:left="0"/>
              <w:rPr>
                <w:rFonts w:cstheme="minorHAnsi"/>
                <w:sz w:val="20"/>
                <w:szCs w:val="20"/>
              </w:rPr>
            </w:pPr>
          </w:p>
        </w:tc>
      </w:tr>
      <w:tr w:rsidR="00D8065B" w:rsidRPr="006E751A" w14:paraId="1BD2E6A9" w14:textId="77777777" w:rsidTr="00604541">
        <w:tc>
          <w:tcPr>
            <w:tcW w:w="977" w:type="dxa"/>
          </w:tcPr>
          <w:p w14:paraId="76F93252" w14:textId="12DA8FD7" w:rsidR="00D8065B" w:rsidRDefault="00D8065B" w:rsidP="00D8065B">
            <w:pPr>
              <w:tabs>
                <w:tab w:val="center" w:pos="6480"/>
              </w:tabs>
              <w:autoSpaceDE w:val="0"/>
              <w:autoSpaceDN w:val="0"/>
              <w:adjustRightInd w:val="0"/>
              <w:rPr>
                <w:rFonts w:cs="SAS Monospace"/>
                <w:sz w:val="20"/>
                <w:szCs w:val="20"/>
              </w:rPr>
            </w:pPr>
            <w:r>
              <w:rPr>
                <w:rFonts w:cs="SAS Monospace"/>
                <w:sz w:val="20"/>
                <w:szCs w:val="20"/>
              </w:rPr>
              <w:t>350</w:t>
            </w:r>
          </w:p>
        </w:tc>
        <w:tc>
          <w:tcPr>
            <w:tcW w:w="1903" w:type="dxa"/>
          </w:tcPr>
          <w:p w14:paraId="510C769D" w14:textId="1F9CD8E7" w:rsidR="00D8065B" w:rsidRDefault="00D8065B" w:rsidP="00D8065B">
            <w:pPr>
              <w:tabs>
                <w:tab w:val="center" w:pos="6480"/>
              </w:tabs>
              <w:autoSpaceDE w:val="0"/>
              <w:autoSpaceDN w:val="0"/>
              <w:adjustRightInd w:val="0"/>
              <w:rPr>
                <w:rFonts w:cstheme="minorHAnsi"/>
                <w:sz w:val="20"/>
                <w:szCs w:val="20"/>
              </w:rPr>
            </w:pPr>
            <w:r>
              <w:rPr>
                <w:rFonts w:cstheme="minorHAnsi"/>
                <w:sz w:val="20"/>
                <w:szCs w:val="20"/>
              </w:rPr>
              <w:t>SDRET</w:t>
            </w:r>
          </w:p>
        </w:tc>
        <w:tc>
          <w:tcPr>
            <w:tcW w:w="5788" w:type="dxa"/>
          </w:tcPr>
          <w:p w14:paraId="662F446B" w14:textId="1DBBF0AF" w:rsidR="00D8065B" w:rsidRDefault="00D8065B" w:rsidP="00D8065B">
            <w:pPr>
              <w:tabs>
                <w:tab w:val="center" w:pos="6480"/>
              </w:tabs>
              <w:autoSpaceDE w:val="0"/>
              <w:autoSpaceDN w:val="0"/>
              <w:adjustRightInd w:val="0"/>
              <w:rPr>
                <w:rFonts w:cstheme="minorHAnsi"/>
                <w:sz w:val="20"/>
                <w:szCs w:val="20"/>
              </w:rPr>
            </w:pPr>
            <w:r>
              <w:rPr>
                <w:rFonts w:cstheme="minorHAnsi"/>
                <w:sz w:val="20"/>
                <w:szCs w:val="20"/>
              </w:rPr>
              <w:t>Euclidean distance to nearest land devoted to retail use (meters).</w:t>
            </w:r>
          </w:p>
        </w:tc>
        <w:tc>
          <w:tcPr>
            <w:tcW w:w="1952" w:type="dxa"/>
          </w:tcPr>
          <w:p w14:paraId="3E609F7A" w14:textId="77777777" w:rsidR="00D8065B" w:rsidRDefault="00D8065B" w:rsidP="00D9229D">
            <w:pPr>
              <w:pStyle w:val="ListParagraph"/>
              <w:ind w:left="0"/>
              <w:rPr>
                <w:rFonts w:cstheme="minorHAnsi"/>
                <w:sz w:val="20"/>
                <w:szCs w:val="20"/>
              </w:rPr>
            </w:pPr>
          </w:p>
        </w:tc>
      </w:tr>
      <w:tr w:rsidR="00D8065B" w:rsidRPr="006E751A" w14:paraId="46D4FFCB" w14:textId="77777777" w:rsidTr="00604541">
        <w:tc>
          <w:tcPr>
            <w:tcW w:w="977" w:type="dxa"/>
          </w:tcPr>
          <w:p w14:paraId="688A6F2A" w14:textId="77757A79" w:rsidR="00D8065B" w:rsidRDefault="00D8065B" w:rsidP="00D8065B">
            <w:pPr>
              <w:tabs>
                <w:tab w:val="center" w:pos="6480"/>
              </w:tabs>
              <w:autoSpaceDE w:val="0"/>
              <w:autoSpaceDN w:val="0"/>
              <w:adjustRightInd w:val="0"/>
              <w:rPr>
                <w:rFonts w:cs="SAS Monospace"/>
                <w:sz w:val="20"/>
                <w:szCs w:val="20"/>
              </w:rPr>
            </w:pPr>
            <w:r>
              <w:rPr>
                <w:rFonts w:cs="SAS Monospace"/>
                <w:sz w:val="20"/>
                <w:szCs w:val="20"/>
              </w:rPr>
              <w:t>351</w:t>
            </w:r>
          </w:p>
        </w:tc>
        <w:tc>
          <w:tcPr>
            <w:tcW w:w="1903" w:type="dxa"/>
          </w:tcPr>
          <w:p w14:paraId="21D78B35" w14:textId="72549904" w:rsidR="00D8065B" w:rsidRDefault="00D8065B" w:rsidP="00E471A3">
            <w:pPr>
              <w:tabs>
                <w:tab w:val="center" w:pos="6480"/>
              </w:tabs>
              <w:autoSpaceDE w:val="0"/>
              <w:autoSpaceDN w:val="0"/>
              <w:adjustRightInd w:val="0"/>
              <w:rPr>
                <w:rFonts w:cstheme="minorHAnsi"/>
                <w:sz w:val="20"/>
                <w:szCs w:val="20"/>
              </w:rPr>
            </w:pPr>
            <w:r>
              <w:rPr>
                <w:rFonts w:cstheme="minorHAnsi"/>
                <w:sz w:val="20"/>
                <w:szCs w:val="20"/>
              </w:rPr>
              <w:t>SDCOMM</w:t>
            </w:r>
          </w:p>
        </w:tc>
        <w:tc>
          <w:tcPr>
            <w:tcW w:w="5788" w:type="dxa"/>
          </w:tcPr>
          <w:p w14:paraId="650427C6" w14:textId="2495A098" w:rsidR="00D8065B" w:rsidRDefault="00D8065B" w:rsidP="00E471A3">
            <w:pPr>
              <w:tabs>
                <w:tab w:val="center" w:pos="6480"/>
              </w:tabs>
              <w:autoSpaceDE w:val="0"/>
              <w:autoSpaceDN w:val="0"/>
              <w:adjustRightInd w:val="0"/>
              <w:rPr>
                <w:rFonts w:cstheme="minorHAnsi"/>
                <w:sz w:val="20"/>
                <w:szCs w:val="20"/>
              </w:rPr>
            </w:pPr>
            <w:r>
              <w:rPr>
                <w:rFonts w:cstheme="minorHAnsi"/>
                <w:sz w:val="20"/>
                <w:szCs w:val="20"/>
              </w:rPr>
              <w:t>Euclidean distance to nearest land devoted to commercial use (meters).</w:t>
            </w:r>
          </w:p>
        </w:tc>
        <w:tc>
          <w:tcPr>
            <w:tcW w:w="1952" w:type="dxa"/>
          </w:tcPr>
          <w:p w14:paraId="6B76C79F" w14:textId="77777777" w:rsidR="00D8065B" w:rsidRDefault="00D8065B" w:rsidP="00D9229D">
            <w:pPr>
              <w:pStyle w:val="ListParagraph"/>
              <w:ind w:left="0"/>
              <w:rPr>
                <w:rFonts w:cstheme="minorHAnsi"/>
                <w:sz w:val="20"/>
                <w:szCs w:val="20"/>
              </w:rPr>
            </w:pPr>
          </w:p>
        </w:tc>
      </w:tr>
      <w:tr w:rsidR="00D8065B" w:rsidRPr="006E751A" w14:paraId="7E69B795" w14:textId="77777777" w:rsidTr="00604541">
        <w:tc>
          <w:tcPr>
            <w:tcW w:w="977" w:type="dxa"/>
          </w:tcPr>
          <w:p w14:paraId="607DB037" w14:textId="45C1022C" w:rsidR="00D8065B" w:rsidRDefault="00D8065B" w:rsidP="00D8065B">
            <w:pPr>
              <w:tabs>
                <w:tab w:val="center" w:pos="6480"/>
              </w:tabs>
              <w:autoSpaceDE w:val="0"/>
              <w:autoSpaceDN w:val="0"/>
              <w:adjustRightInd w:val="0"/>
              <w:rPr>
                <w:rFonts w:cs="SAS Monospace"/>
                <w:sz w:val="20"/>
                <w:szCs w:val="20"/>
              </w:rPr>
            </w:pPr>
            <w:r>
              <w:rPr>
                <w:rFonts w:cs="SAS Monospace"/>
                <w:sz w:val="20"/>
                <w:szCs w:val="20"/>
              </w:rPr>
              <w:t>352</w:t>
            </w:r>
          </w:p>
        </w:tc>
        <w:tc>
          <w:tcPr>
            <w:tcW w:w="1903" w:type="dxa"/>
          </w:tcPr>
          <w:p w14:paraId="50DE0F89" w14:textId="2C880E2B" w:rsidR="00D8065B" w:rsidRDefault="00D8065B" w:rsidP="00D8065B">
            <w:pPr>
              <w:tabs>
                <w:tab w:val="center" w:pos="6480"/>
              </w:tabs>
              <w:autoSpaceDE w:val="0"/>
              <w:autoSpaceDN w:val="0"/>
              <w:adjustRightInd w:val="0"/>
              <w:rPr>
                <w:rFonts w:cstheme="minorHAnsi"/>
                <w:sz w:val="20"/>
                <w:szCs w:val="20"/>
              </w:rPr>
            </w:pPr>
            <w:r>
              <w:rPr>
                <w:rFonts w:cstheme="minorHAnsi"/>
                <w:sz w:val="20"/>
                <w:szCs w:val="20"/>
              </w:rPr>
              <w:t>SDRETip</w:t>
            </w:r>
          </w:p>
        </w:tc>
        <w:tc>
          <w:tcPr>
            <w:tcW w:w="5788" w:type="dxa"/>
          </w:tcPr>
          <w:p w14:paraId="7206E7A3" w14:textId="4F739253" w:rsidR="00D8065B" w:rsidRDefault="00D8065B" w:rsidP="00D8065B">
            <w:pPr>
              <w:tabs>
                <w:tab w:val="center" w:pos="6480"/>
              </w:tabs>
              <w:autoSpaceDE w:val="0"/>
              <w:autoSpaceDN w:val="0"/>
              <w:adjustRightInd w:val="0"/>
              <w:rPr>
                <w:rFonts w:cstheme="minorHAnsi"/>
                <w:sz w:val="20"/>
                <w:szCs w:val="20"/>
              </w:rPr>
            </w:pPr>
            <w:r>
              <w:rPr>
                <w:rFonts w:cstheme="minorHAnsi"/>
                <w:sz w:val="20"/>
                <w:szCs w:val="20"/>
              </w:rPr>
              <w:t>Interpolated Euclidean distance to nearest land devoted to retail use (meters).</w:t>
            </w:r>
          </w:p>
        </w:tc>
        <w:tc>
          <w:tcPr>
            <w:tcW w:w="1952" w:type="dxa"/>
          </w:tcPr>
          <w:p w14:paraId="0DF15580" w14:textId="77777777" w:rsidR="00D8065B" w:rsidRDefault="00D8065B" w:rsidP="00D9229D">
            <w:pPr>
              <w:pStyle w:val="ListParagraph"/>
              <w:ind w:left="0"/>
              <w:rPr>
                <w:rFonts w:cstheme="minorHAnsi"/>
                <w:sz w:val="20"/>
                <w:szCs w:val="20"/>
              </w:rPr>
            </w:pPr>
          </w:p>
        </w:tc>
      </w:tr>
      <w:tr w:rsidR="00D8065B" w:rsidRPr="006E751A" w14:paraId="59E77182" w14:textId="77777777" w:rsidTr="00604541">
        <w:tc>
          <w:tcPr>
            <w:tcW w:w="977" w:type="dxa"/>
          </w:tcPr>
          <w:p w14:paraId="42D2E262" w14:textId="187D356B" w:rsidR="00D8065B" w:rsidRDefault="00D8065B" w:rsidP="00D8065B">
            <w:pPr>
              <w:tabs>
                <w:tab w:val="center" w:pos="6480"/>
              </w:tabs>
              <w:autoSpaceDE w:val="0"/>
              <w:autoSpaceDN w:val="0"/>
              <w:adjustRightInd w:val="0"/>
              <w:rPr>
                <w:rFonts w:cs="SAS Monospace"/>
                <w:sz w:val="20"/>
                <w:szCs w:val="20"/>
              </w:rPr>
            </w:pPr>
            <w:r>
              <w:rPr>
                <w:rFonts w:cs="SAS Monospace"/>
                <w:sz w:val="20"/>
                <w:szCs w:val="20"/>
              </w:rPr>
              <w:t>353</w:t>
            </w:r>
          </w:p>
        </w:tc>
        <w:tc>
          <w:tcPr>
            <w:tcW w:w="1903" w:type="dxa"/>
          </w:tcPr>
          <w:p w14:paraId="2F43907C" w14:textId="59DC451F" w:rsidR="00D8065B" w:rsidRDefault="00D8065B" w:rsidP="00D8065B">
            <w:pPr>
              <w:tabs>
                <w:tab w:val="center" w:pos="6480"/>
              </w:tabs>
              <w:autoSpaceDE w:val="0"/>
              <w:autoSpaceDN w:val="0"/>
              <w:adjustRightInd w:val="0"/>
              <w:rPr>
                <w:rFonts w:cstheme="minorHAnsi"/>
                <w:sz w:val="20"/>
                <w:szCs w:val="20"/>
              </w:rPr>
            </w:pPr>
            <w:r>
              <w:rPr>
                <w:rFonts w:cstheme="minorHAnsi"/>
                <w:sz w:val="20"/>
                <w:szCs w:val="20"/>
              </w:rPr>
              <w:t>SDCOMMip</w:t>
            </w:r>
          </w:p>
        </w:tc>
        <w:tc>
          <w:tcPr>
            <w:tcW w:w="5788" w:type="dxa"/>
          </w:tcPr>
          <w:p w14:paraId="4E0AB871" w14:textId="00A2F0BB" w:rsidR="00D8065B" w:rsidRDefault="00D8065B" w:rsidP="00E471A3">
            <w:pPr>
              <w:tabs>
                <w:tab w:val="center" w:pos="6480"/>
              </w:tabs>
              <w:autoSpaceDE w:val="0"/>
              <w:autoSpaceDN w:val="0"/>
              <w:adjustRightInd w:val="0"/>
              <w:rPr>
                <w:rFonts w:cstheme="minorHAnsi"/>
                <w:sz w:val="20"/>
                <w:szCs w:val="20"/>
              </w:rPr>
            </w:pPr>
            <w:r>
              <w:rPr>
                <w:rFonts w:cstheme="minorHAnsi"/>
                <w:sz w:val="20"/>
                <w:szCs w:val="20"/>
              </w:rPr>
              <w:t>Interpolated Euclidean distance to nearest land devoted to commercial use (meters).</w:t>
            </w:r>
          </w:p>
        </w:tc>
        <w:tc>
          <w:tcPr>
            <w:tcW w:w="1952" w:type="dxa"/>
          </w:tcPr>
          <w:p w14:paraId="0C52A743" w14:textId="77777777" w:rsidR="00D8065B" w:rsidRDefault="00D8065B" w:rsidP="00D9229D">
            <w:pPr>
              <w:pStyle w:val="ListParagraph"/>
              <w:ind w:left="0"/>
              <w:rPr>
                <w:rFonts w:cstheme="minorHAnsi"/>
                <w:sz w:val="20"/>
                <w:szCs w:val="20"/>
              </w:rPr>
            </w:pPr>
          </w:p>
        </w:tc>
      </w:tr>
      <w:tr w:rsidR="00073DD5" w:rsidRPr="006E751A" w14:paraId="4CBE2093" w14:textId="77777777" w:rsidTr="00604541">
        <w:tc>
          <w:tcPr>
            <w:tcW w:w="977" w:type="dxa"/>
          </w:tcPr>
          <w:p w14:paraId="51158652" w14:textId="77777777" w:rsidR="00073DD5" w:rsidRDefault="00073DD5" w:rsidP="00D8065B">
            <w:pPr>
              <w:tabs>
                <w:tab w:val="center" w:pos="6480"/>
              </w:tabs>
              <w:autoSpaceDE w:val="0"/>
              <w:autoSpaceDN w:val="0"/>
              <w:adjustRightInd w:val="0"/>
              <w:rPr>
                <w:rFonts w:cs="SAS Monospace"/>
                <w:sz w:val="20"/>
                <w:szCs w:val="20"/>
              </w:rPr>
            </w:pPr>
          </w:p>
        </w:tc>
        <w:tc>
          <w:tcPr>
            <w:tcW w:w="1903" w:type="dxa"/>
          </w:tcPr>
          <w:p w14:paraId="41CEC797" w14:textId="77777777" w:rsidR="00073DD5" w:rsidRDefault="00073DD5" w:rsidP="00D8065B">
            <w:pPr>
              <w:tabs>
                <w:tab w:val="center" w:pos="6480"/>
              </w:tabs>
              <w:autoSpaceDE w:val="0"/>
              <w:autoSpaceDN w:val="0"/>
              <w:adjustRightInd w:val="0"/>
              <w:rPr>
                <w:rFonts w:cstheme="minorHAnsi"/>
                <w:sz w:val="20"/>
                <w:szCs w:val="20"/>
              </w:rPr>
            </w:pPr>
          </w:p>
        </w:tc>
        <w:tc>
          <w:tcPr>
            <w:tcW w:w="5788" w:type="dxa"/>
          </w:tcPr>
          <w:p w14:paraId="34CBB07E" w14:textId="77777777" w:rsidR="00073DD5" w:rsidRDefault="00073DD5" w:rsidP="00E471A3">
            <w:pPr>
              <w:tabs>
                <w:tab w:val="center" w:pos="6480"/>
              </w:tabs>
              <w:autoSpaceDE w:val="0"/>
              <w:autoSpaceDN w:val="0"/>
              <w:adjustRightInd w:val="0"/>
              <w:rPr>
                <w:rFonts w:cstheme="minorHAnsi"/>
                <w:sz w:val="20"/>
                <w:szCs w:val="20"/>
              </w:rPr>
            </w:pPr>
          </w:p>
        </w:tc>
        <w:tc>
          <w:tcPr>
            <w:tcW w:w="1952" w:type="dxa"/>
          </w:tcPr>
          <w:p w14:paraId="053E93F0" w14:textId="77777777" w:rsidR="00073DD5" w:rsidRDefault="00073DD5" w:rsidP="00D9229D">
            <w:pPr>
              <w:pStyle w:val="ListParagraph"/>
              <w:ind w:left="0"/>
              <w:rPr>
                <w:rFonts w:cstheme="minorHAnsi"/>
                <w:sz w:val="20"/>
                <w:szCs w:val="20"/>
              </w:rPr>
            </w:pPr>
          </w:p>
        </w:tc>
      </w:tr>
      <w:tr w:rsidR="00073DD5" w:rsidRPr="006E751A" w14:paraId="3D16B729" w14:textId="77777777" w:rsidTr="00D9229D">
        <w:tc>
          <w:tcPr>
            <w:tcW w:w="10620" w:type="dxa"/>
            <w:gridSpan w:val="4"/>
          </w:tcPr>
          <w:p w14:paraId="3ACBF22F" w14:textId="012F540C" w:rsidR="00073DD5" w:rsidRPr="00073DD5" w:rsidRDefault="00073DD5" w:rsidP="00D9229D">
            <w:pPr>
              <w:pStyle w:val="ListParagraph"/>
              <w:ind w:left="0"/>
              <w:rPr>
                <w:rFonts w:cstheme="minorHAnsi"/>
                <w:b/>
                <w:sz w:val="20"/>
                <w:szCs w:val="20"/>
              </w:rPr>
            </w:pPr>
            <w:r w:rsidRPr="00073DD5">
              <w:rPr>
                <w:rFonts w:cs="SAS Monospace"/>
                <w:b/>
                <w:sz w:val="20"/>
                <w:szCs w:val="20"/>
              </w:rPr>
              <w:t>PUBLIC TRANSPORTATION</w:t>
            </w:r>
          </w:p>
        </w:tc>
      </w:tr>
      <w:tr w:rsidR="00073DD5" w:rsidRPr="006E751A" w14:paraId="27C10FDE" w14:textId="77777777" w:rsidTr="00604541">
        <w:tc>
          <w:tcPr>
            <w:tcW w:w="977" w:type="dxa"/>
          </w:tcPr>
          <w:p w14:paraId="3A0B6C23" w14:textId="0FB7F215" w:rsidR="00073DD5" w:rsidRDefault="00073DD5" w:rsidP="00D8065B">
            <w:pPr>
              <w:tabs>
                <w:tab w:val="center" w:pos="6480"/>
              </w:tabs>
              <w:autoSpaceDE w:val="0"/>
              <w:autoSpaceDN w:val="0"/>
              <w:adjustRightInd w:val="0"/>
              <w:rPr>
                <w:rFonts w:cs="SAS Monospace"/>
                <w:sz w:val="20"/>
                <w:szCs w:val="20"/>
              </w:rPr>
            </w:pPr>
            <w:r>
              <w:rPr>
                <w:rFonts w:cs="SAS Monospace"/>
                <w:sz w:val="20"/>
                <w:szCs w:val="20"/>
              </w:rPr>
              <w:t>354</w:t>
            </w:r>
          </w:p>
        </w:tc>
        <w:tc>
          <w:tcPr>
            <w:tcW w:w="1903" w:type="dxa"/>
          </w:tcPr>
          <w:p w14:paraId="63403BFA" w14:textId="1ECEB911" w:rsidR="00073DD5" w:rsidRDefault="00073DD5" w:rsidP="00D8065B">
            <w:pPr>
              <w:tabs>
                <w:tab w:val="center" w:pos="6480"/>
              </w:tabs>
              <w:autoSpaceDE w:val="0"/>
              <w:autoSpaceDN w:val="0"/>
              <w:adjustRightInd w:val="0"/>
              <w:rPr>
                <w:rFonts w:cstheme="minorHAnsi"/>
                <w:sz w:val="20"/>
                <w:szCs w:val="20"/>
              </w:rPr>
            </w:pPr>
            <w:r>
              <w:rPr>
                <w:rFonts w:cstheme="minorHAnsi"/>
                <w:sz w:val="20"/>
                <w:szCs w:val="20"/>
              </w:rPr>
              <w:t>BUSYRD</w:t>
            </w:r>
          </w:p>
        </w:tc>
        <w:tc>
          <w:tcPr>
            <w:tcW w:w="5788" w:type="dxa"/>
          </w:tcPr>
          <w:p w14:paraId="3249C7AE" w14:textId="70D74E5B" w:rsidR="00073DD5" w:rsidRDefault="00073DD5" w:rsidP="00073DD5">
            <w:pPr>
              <w:tabs>
                <w:tab w:val="center" w:pos="6480"/>
              </w:tabs>
              <w:autoSpaceDE w:val="0"/>
              <w:autoSpaceDN w:val="0"/>
              <w:adjustRightInd w:val="0"/>
              <w:rPr>
                <w:rFonts w:cstheme="minorHAnsi"/>
                <w:sz w:val="20"/>
                <w:szCs w:val="20"/>
              </w:rPr>
            </w:pPr>
            <w:r>
              <w:rPr>
                <w:rFonts w:cstheme="minorHAnsi"/>
                <w:sz w:val="20"/>
                <w:szCs w:val="20"/>
              </w:rPr>
              <w:t>Number of years between bus route data collection and exam. Calculated by (Exam year – Data collection year).</w:t>
            </w:r>
          </w:p>
        </w:tc>
        <w:tc>
          <w:tcPr>
            <w:tcW w:w="1952" w:type="dxa"/>
          </w:tcPr>
          <w:p w14:paraId="4C100581" w14:textId="77777777" w:rsidR="00073DD5" w:rsidRDefault="00073DD5" w:rsidP="00D9229D">
            <w:pPr>
              <w:pStyle w:val="ListParagraph"/>
              <w:ind w:left="0"/>
              <w:rPr>
                <w:rFonts w:cstheme="minorHAnsi"/>
                <w:sz w:val="20"/>
                <w:szCs w:val="20"/>
              </w:rPr>
            </w:pPr>
            <w:r>
              <w:rPr>
                <w:rFonts w:cstheme="minorHAnsi"/>
                <w:sz w:val="20"/>
                <w:szCs w:val="20"/>
              </w:rPr>
              <w:t>0 = Data collection in same year as exam</w:t>
            </w:r>
          </w:p>
          <w:p w14:paraId="1DAFFB95" w14:textId="77777777" w:rsidR="00073DD5" w:rsidRDefault="00073DD5" w:rsidP="00D9229D">
            <w:pPr>
              <w:pStyle w:val="ListParagraph"/>
              <w:ind w:left="0"/>
              <w:rPr>
                <w:rFonts w:cstheme="minorHAnsi"/>
                <w:sz w:val="20"/>
                <w:szCs w:val="20"/>
              </w:rPr>
            </w:pPr>
            <w:r>
              <w:rPr>
                <w:rFonts w:cstheme="minorHAnsi"/>
                <w:sz w:val="20"/>
                <w:szCs w:val="20"/>
              </w:rPr>
              <w:t>&lt;0 = Data collection was after exam</w:t>
            </w:r>
          </w:p>
          <w:p w14:paraId="537E1A3A" w14:textId="0353552E" w:rsidR="00073DD5" w:rsidRDefault="00073DD5" w:rsidP="00D9229D">
            <w:pPr>
              <w:pStyle w:val="ListParagraph"/>
              <w:ind w:left="0"/>
              <w:rPr>
                <w:rFonts w:cstheme="minorHAnsi"/>
                <w:sz w:val="20"/>
                <w:szCs w:val="20"/>
              </w:rPr>
            </w:pPr>
            <w:r>
              <w:rPr>
                <w:rFonts w:cstheme="minorHAnsi"/>
                <w:sz w:val="20"/>
                <w:szCs w:val="20"/>
              </w:rPr>
              <w:t>&gt;0 = Data collection was before exam</w:t>
            </w:r>
          </w:p>
        </w:tc>
      </w:tr>
      <w:tr w:rsidR="00073DD5" w:rsidRPr="006E751A" w14:paraId="183303DC" w14:textId="77777777" w:rsidTr="00604541">
        <w:tc>
          <w:tcPr>
            <w:tcW w:w="977" w:type="dxa"/>
          </w:tcPr>
          <w:p w14:paraId="23065DB3" w14:textId="7827D6DA" w:rsidR="00073DD5" w:rsidRDefault="00073DD5" w:rsidP="00D8065B">
            <w:pPr>
              <w:tabs>
                <w:tab w:val="center" w:pos="6480"/>
              </w:tabs>
              <w:autoSpaceDE w:val="0"/>
              <w:autoSpaceDN w:val="0"/>
              <w:adjustRightInd w:val="0"/>
              <w:rPr>
                <w:rFonts w:cs="SAS Monospace"/>
                <w:sz w:val="20"/>
                <w:szCs w:val="20"/>
              </w:rPr>
            </w:pPr>
            <w:r>
              <w:rPr>
                <w:rFonts w:cs="SAS Monospace"/>
                <w:sz w:val="20"/>
                <w:szCs w:val="20"/>
              </w:rPr>
              <w:t>355</w:t>
            </w:r>
          </w:p>
        </w:tc>
        <w:tc>
          <w:tcPr>
            <w:tcW w:w="1903" w:type="dxa"/>
          </w:tcPr>
          <w:p w14:paraId="464557BF" w14:textId="5A4B8B30" w:rsidR="00073DD5" w:rsidRDefault="00073DD5" w:rsidP="00D8065B">
            <w:pPr>
              <w:tabs>
                <w:tab w:val="center" w:pos="6480"/>
              </w:tabs>
              <w:autoSpaceDE w:val="0"/>
              <w:autoSpaceDN w:val="0"/>
              <w:adjustRightInd w:val="0"/>
              <w:rPr>
                <w:rFonts w:cstheme="minorHAnsi"/>
                <w:sz w:val="20"/>
                <w:szCs w:val="20"/>
              </w:rPr>
            </w:pPr>
            <w:r>
              <w:rPr>
                <w:rFonts w:cstheme="minorHAnsi"/>
                <w:sz w:val="20"/>
                <w:szCs w:val="20"/>
              </w:rPr>
              <w:t>SBUS</w:t>
            </w:r>
          </w:p>
        </w:tc>
        <w:tc>
          <w:tcPr>
            <w:tcW w:w="5788" w:type="dxa"/>
          </w:tcPr>
          <w:p w14:paraId="6D44224F" w14:textId="5541973C" w:rsidR="00073DD5" w:rsidRDefault="00073DD5" w:rsidP="00073DD5">
            <w:pPr>
              <w:tabs>
                <w:tab w:val="center" w:pos="6480"/>
              </w:tabs>
              <w:autoSpaceDE w:val="0"/>
              <w:autoSpaceDN w:val="0"/>
              <w:adjustRightInd w:val="0"/>
              <w:rPr>
                <w:rFonts w:cstheme="minorHAnsi"/>
                <w:sz w:val="20"/>
                <w:szCs w:val="20"/>
              </w:rPr>
            </w:pPr>
            <w:r>
              <w:rPr>
                <w:rFonts w:cstheme="minorHAnsi"/>
                <w:sz w:val="20"/>
                <w:szCs w:val="20"/>
              </w:rPr>
              <w:t>Euclidean distance to nearest bus route (meters).</w:t>
            </w:r>
          </w:p>
        </w:tc>
        <w:tc>
          <w:tcPr>
            <w:tcW w:w="1952" w:type="dxa"/>
          </w:tcPr>
          <w:p w14:paraId="69E52E6D" w14:textId="77777777" w:rsidR="00073DD5" w:rsidRDefault="00073DD5" w:rsidP="00D9229D">
            <w:pPr>
              <w:pStyle w:val="ListParagraph"/>
              <w:ind w:left="0"/>
              <w:rPr>
                <w:rFonts w:cstheme="minorHAnsi"/>
                <w:sz w:val="20"/>
                <w:szCs w:val="20"/>
              </w:rPr>
            </w:pPr>
          </w:p>
        </w:tc>
      </w:tr>
      <w:tr w:rsidR="00585B24" w:rsidRPr="006E751A" w14:paraId="6262C6DD" w14:textId="77777777" w:rsidTr="00604541">
        <w:tc>
          <w:tcPr>
            <w:tcW w:w="977" w:type="dxa"/>
          </w:tcPr>
          <w:p w14:paraId="2A753A56" w14:textId="0273EB00" w:rsidR="00585B24" w:rsidRDefault="00585B24" w:rsidP="00D8065B">
            <w:pPr>
              <w:tabs>
                <w:tab w:val="center" w:pos="6480"/>
              </w:tabs>
              <w:autoSpaceDE w:val="0"/>
              <w:autoSpaceDN w:val="0"/>
              <w:adjustRightInd w:val="0"/>
              <w:rPr>
                <w:rFonts w:cs="SAS Monospace"/>
                <w:sz w:val="20"/>
                <w:szCs w:val="20"/>
              </w:rPr>
            </w:pPr>
            <w:r>
              <w:rPr>
                <w:rFonts w:cs="SAS Monospace"/>
                <w:sz w:val="20"/>
                <w:szCs w:val="20"/>
              </w:rPr>
              <w:t>356</w:t>
            </w:r>
          </w:p>
        </w:tc>
        <w:tc>
          <w:tcPr>
            <w:tcW w:w="1903" w:type="dxa"/>
          </w:tcPr>
          <w:p w14:paraId="6E4BD200" w14:textId="340B02E4" w:rsidR="00585B24" w:rsidRDefault="00585B24" w:rsidP="00D8065B">
            <w:pPr>
              <w:tabs>
                <w:tab w:val="center" w:pos="6480"/>
              </w:tabs>
              <w:autoSpaceDE w:val="0"/>
              <w:autoSpaceDN w:val="0"/>
              <w:adjustRightInd w:val="0"/>
              <w:rPr>
                <w:rFonts w:cstheme="minorHAnsi"/>
                <w:sz w:val="20"/>
                <w:szCs w:val="20"/>
              </w:rPr>
            </w:pPr>
            <w:r>
              <w:rPr>
                <w:rFonts w:cstheme="minorHAnsi"/>
                <w:sz w:val="20"/>
                <w:szCs w:val="20"/>
              </w:rPr>
              <w:t>TRNYRD</w:t>
            </w:r>
          </w:p>
        </w:tc>
        <w:tc>
          <w:tcPr>
            <w:tcW w:w="5788" w:type="dxa"/>
          </w:tcPr>
          <w:p w14:paraId="6DC44541" w14:textId="07D51030" w:rsidR="00585B24" w:rsidRDefault="00585B24" w:rsidP="00585B24">
            <w:pPr>
              <w:tabs>
                <w:tab w:val="center" w:pos="6480"/>
              </w:tabs>
              <w:autoSpaceDE w:val="0"/>
              <w:autoSpaceDN w:val="0"/>
              <w:adjustRightInd w:val="0"/>
              <w:rPr>
                <w:rFonts w:cstheme="minorHAnsi"/>
                <w:sz w:val="20"/>
                <w:szCs w:val="20"/>
              </w:rPr>
            </w:pPr>
            <w:r>
              <w:rPr>
                <w:rFonts w:cstheme="minorHAnsi"/>
                <w:sz w:val="20"/>
                <w:szCs w:val="20"/>
              </w:rPr>
              <w:t>Number of years between train/subway data collection and exam. Calculated by (Exam year – Data collection year).</w:t>
            </w:r>
          </w:p>
        </w:tc>
        <w:tc>
          <w:tcPr>
            <w:tcW w:w="1952" w:type="dxa"/>
          </w:tcPr>
          <w:p w14:paraId="40E3B9B3" w14:textId="77777777" w:rsidR="00585B24" w:rsidRDefault="00585B24" w:rsidP="00D9229D">
            <w:pPr>
              <w:pStyle w:val="ListParagraph"/>
              <w:ind w:left="0"/>
              <w:rPr>
                <w:rFonts w:cstheme="minorHAnsi"/>
                <w:sz w:val="20"/>
                <w:szCs w:val="20"/>
              </w:rPr>
            </w:pPr>
            <w:r>
              <w:rPr>
                <w:rFonts w:cstheme="minorHAnsi"/>
                <w:sz w:val="20"/>
                <w:szCs w:val="20"/>
              </w:rPr>
              <w:t>0 = Data collection in same year as exam</w:t>
            </w:r>
          </w:p>
          <w:p w14:paraId="7B57EFF3" w14:textId="77777777" w:rsidR="00585B24" w:rsidRDefault="00585B24" w:rsidP="00D9229D">
            <w:pPr>
              <w:pStyle w:val="ListParagraph"/>
              <w:ind w:left="0"/>
              <w:rPr>
                <w:rFonts w:cstheme="minorHAnsi"/>
                <w:sz w:val="20"/>
                <w:szCs w:val="20"/>
              </w:rPr>
            </w:pPr>
            <w:r>
              <w:rPr>
                <w:rFonts w:cstheme="minorHAnsi"/>
                <w:sz w:val="20"/>
                <w:szCs w:val="20"/>
              </w:rPr>
              <w:t>&lt;0 = Data collection was after exam</w:t>
            </w:r>
          </w:p>
          <w:p w14:paraId="1DA1C72D" w14:textId="779D3B01" w:rsidR="00585B24" w:rsidRDefault="00585B24" w:rsidP="00D9229D">
            <w:pPr>
              <w:pStyle w:val="ListParagraph"/>
              <w:ind w:left="0"/>
              <w:rPr>
                <w:rFonts w:cstheme="minorHAnsi"/>
                <w:sz w:val="20"/>
                <w:szCs w:val="20"/>
              </w:rPr>
            </w:pPr>
            <w:r>
              <w:rPr>
                <w:rFonts w:cstheme="minorHAnsi"/>
                <w:sz w:val="20"/>
                <w:szCs w:val="20"/>
              </w:rPr>
              <w:t>&gt;0 = Data collection was before exam</w:t>
            </w:r>
          </w:p>
        </w:tc>
      </w:tr>
      <w:tr w:rsidR="00585B24" w:rsidRPr="006E751A" w14:paraId="3E41C303" w14:textId="77777777" w:rsidTr="00604541">
        <w:tc>
          <w:tcPr>
            <w:tcW w:w="977" w:type="dxa"/>
          </w:tcPr>
          <w:p w14:paraId="5B1F7E8A" w14:textId="1703F335" w:rsidR="00585B24" w:rsidRDefault="00585B24" w:rsidP="00D8065B">
            <w:pPr>
              <w:tabs>
                <w:tab w:val="center" w:pos="6480"/>
              </w:tabs>
              <w:autoSpaceDE w:val="0"/>
              <w:autoSpaceDN w:val="0"/>
              <w:adjustRightInd w:val="0"/>
              <w:rPr>
                <w:rFonts w:cs="SAS Monospace"/>
                <w:sz w:val="20"/>
                <w:szCs w:val="20"/>
              </w:rPr>
            </w:pPr>
            <w:r>
              <w:rPr>
                <w:rFonts w:cs="SAS Monospace"/>
                <w:sz w:val="20"/>
                <w:szCs w:val="20"/>
              </w:rPr>
              <w:t>357</w:t>
            </w:r>
          </w:p>
        </w:tc>
        <w:tc>
          <w:tcPr>
            <w:tcW w:w="1903" w:type="dxa"/>
          </w:tcPr>
          <w:p w14:paraId="62465769" w14:textId="4E56008C" w:rsidR="00585B24" w:rsidRDefault="00585B24" w:rsidP="00D8065B">
            <w:pPr>
              <w:tabs>
                <w:tab w:val="center" w:pos="6480"/>
              </w:tabs>
              <w:autoSpaceDE w:val="0"/>
              <w:autoSpaceDN w:val="0"/>
              <w:adjustRightInd w:val="0"/>
              <w:rPr>
                <w:rFonts w:cstheme="minorHAnsi"/>
                <w:sz w:val="20"/>
                <w:szCs w:val="20"/>
              </w:rPr>
            </w:pPr>
            <w:r>
              <w:rPr>
                <w:rFonts w:cstheme="minorHAnsi"/>
                <w:sz w:val="20"/>
                <w:szCs w:val="20"/>
              </w:rPr>
              <w:t>STRN</w:t>
            </w:r>
          </w:p>
        </w:tc>
        <w:tc>
          <w:tcPr>
            <w:tcW w:w="5788" w:type="dxa"/>
          </w:tcPr>
          <w:p w14:paraId="3F944AD6" w14:textId="79954782" w:rsidR="00585B24" w:rsidRDefault="00585B24" w:rsidP="00585B24">
            <w:pPr>
              <w:tabs>
                <w:tab w:val="center" w:pos="6480"/>
              </w:tabs>
              <w:autoSpaceDE w:val="0"/>
              <w:autoSpaceDN w:val="0"/>
              <w:adjustRightInd w:val="0"/>
              <w:rPr>
                <w:rFonts w:cstheme="minorHAnsi"/>
                <w:sz w:val="20"/>
                <w:szCs w:val="20"/>
              </w:rPr>
            </w:pPr>
            <w:r>
              <w:rPr>
                <w:rFonts w:cstheme="minorHAnsi"/>
                <w:sz w:val="20"/>
                <w:szCs w:val="20"/>
              </w:rPr>
              <w:t>Euclidean distance to nearest train/subway stop (meters).</w:t>
            </w:r>
          </w:p>
        </w:tc>
        <w:tc>
          <w:tcPr>
            <w:tcW w:w="1952" w:type="dxa"/>
          </w:tcPr>
          <w:p w14:paraId="3707B89A" w14:textId="7D9D4F9B" w:rsidR="00585B24" w:rsidRDefault="00585B24" w:rsidP="00D9229D">
            <w:pPr>
              <w:pStyle w:val="ListParagraph"/>
              <w:ind w:left="0"/>
              <w:rPr>
                <w:rFonts w:cstheme="minorHAnsi"/>
                <w:sz w:val="20"/>
                <w:szCs w:val="20"/>
              </w:rPr>
            </w:pPr>
            <w:r>
              <w:rPr>
                <w:rFonts w:cstheme="minorHAnsi"/>
                <w:sz w:val="20"/>
                <w:szCs w:val="20"/>
              </w:rPr>
              <w:t>9999999 = No train line in existance</w:t>
            </w:r>
          </w:p>
        </w:tc>
      </w:tr>
      <w:tr w:rsidR="000D750F" w:rsidRPr="006E751A" w14:paraId="4D298E40" w14:textId="77777777" w:rsidTr="00604541">
        <w:tc>
          <w:tcPr>
            <w:tcW w:w="977" w:type="dxa"/>
          </w:tcPr>
          <w:p w14:paraId="6E23CC68" w14:textId="77777777" w:rsidR="000D750F" w:rsidRDefault="000D750F" w:rsidP="00D8065B">
            <w:pPr>
              <w:tabs>
                <w:tab w:val="center" w:pos="6480"/>
              </w:tabs>
              <w:autoSpaceDE w:val="0"/>
              <w:autoSpaceDN w:val="0"/>
              <w:adjustRightInd w:val="0"/>
              <w:rPr>
                <w:rFonts w:cs="SAS Monospace"/>
                <w:sz w:val="20"/>
                <w:szCs w:val="20"/>
              </w:rPr>
            </w:pPr>
          </w:p>
        </w:tc>
        <w:tc>
          <w:tcPr>
            <w:tcW w:w="1903" w:type="dxa"/>
          </w:tcPr>
          <w:p w14:paraId="6E65ABB0" w14:textId="77777777" w:rsidR="000D750F" w:rsidRDefault="000D750F" w:rsidP="00D8065B">
            <w:pPr>
              <w:tabs>
                <w:tab w:val="center" w:pos="6480"/>
              </w:tabs>
              <w:autoSpaceDE w:val="0"/>
              <w:autoSpaceDN w:val="0"/>
              <w:adjustRightInd w:val="0"/>
              <w:rPr>
                <w:rFonts w:cstheme="minorHAnsi"/>
                <w:sz w:val="20"/>
                <w:szCs w:val="20"/>
              </w:rPr>
            </w:pPr>
          </w:p>
        </w:tc>
        <w:tc>
          <w:tcPr>
            <w:tcW w:w="5788" w:type="dxa"/>
          </w:tcPr>
          <w:p w14:paraId="4D786D28" w14:textId="77777777" w:rsidR="000D750F" w:rsidRDefault="000D750F" w:rsidP="00585B24">
            <w:pPr>
              <w:tabs>
                <w:tab w:val="center" w:pos="6480"/>
              </w:tabs>
              <w:autoSpaceDE w:val="0"/>
              <w:autoSpaceDN w:val="0"/>
              <w:adjustRightInd w:val="0"/>
              <w:rPr>
                <w:rFonts w:cstheme="minorHAnsi"/>
                <w:sz w:val="20"/>
                <w:szCs w:val="20"/>
              </w:rPr>
            </w:pPr>
          </w:p>
        </w:tc>
        <w:tc>
          <w:tcPr>
            <w:tcW w:w="1952" w:type="dxa"/>
          </w:tcPr>
          <w:p w14:paraId="200078DE" w14:textId="77777777" w:rsidR="000D750F" w:rsidRDefault="000D750F" w:rsidP="00D9229D">
            <w:pPr>
              <w:pStyle w:val="ListParagraph"/>
              <w:ind w:left="0"/>
              <w:rPr>
                <w:rFonts w:cstheme="minorHAnsi"/>
                <w:sz w:val="20"/>
                <w:szCs w:val="20"/>
              </w:rPr>
            </w:pPr>
          </w:p>
        </w:tc>
      </w:tr>
      <w:tr w:rsidR="00223126" w:rsidRPr="006E751A" w14:paraId="4066F83B" w14:textId="77777777" w:rsidTr="00D9229D">
        <w:tc>
          <w:tcPr>
            <w:tcW w:w="10620" w:type="dxa"/>
            <w:gridSpan w:val="4"/>
          </w:tcPr>
          <w:p w14:paraId="7C32B56C" w14:textId="79309E82" w:rsidR="00223126" w:rsidRPr="00223126" w:rsidRDefault="00223126" w:rsidP="00D9229D">
            <w:pPr>
              <w:pStyle w:val="ListParagraph"/>
              <w:ind w:left="0"/>
              <w:rPr>
                <w:rFonts w:cstheme="minorHAnsi"/>
                <w:b/>
                <w:sz w:val="20"/>
                <w:szCs w:val="20"/>
              </w:rPr>
            </w:pPr>
            <w:r w:rsidRPr="00223126">
              <w:rPr>
                <w:rFonts w:cs="SAS Monospace"/>
                <w:b/>
                <w:sz w:val="20"/>
                <w:szCs w:val="20"/>
              </w:rPr>
              <w:t>BUILT ENVIRONMENT FACTOR SCORES</w:t>
            </w:r>
          </w:p>
        </w:tc>
      </w:tr>
      <w:tr w:rsidR="00936D1D" w:rsidRPr="006E751A" w14:paraId="604E2DE3" w14:textId="77777777" w:rsidTr="00604541">
        <w:tc>
          <w:tcPr>
            <w:tcW w:w="977" w:type="dxa"/>
          </w:tcPr>
          <w:p w14:paraId="0C3FD628" w14:textId="4CF20661" w:rsidR="00936D1D" w:rsidRDefault="0032300C" w:rsidP="004F5095">
            <w:pPr>
              <w:tabs>
                <w:tab w:val="center" w:pos="6480"/>
              </w:tabs>
              <w:autoSpaceDE w:val="0"/>
              <w:autoSpaceDN w:val="0"/>
              <w:adjustRightInd w:val="0"/>
              <w:rPr>
                <w:rFonts w:cs="SAS Monospace"/>
                <w:sz w:val="20"/>
                <w:szCs w:val="20"/>
              </w:rPr>
            </w:pPr>
            <w:r>
              <w:rPr>
                <w:rFonts w:cs="SAS Monospace"/>
                <w:sz w:val="20"/>
                <w:szCs w:val="20"/>
              </w:rPr>
              <w:lastRenderedPageBreak/>
              <w:t>358</w:t>
            </w:r>
          </w:p>
        </w:tc>
        <w:tc>
          <w:tcPr>
            <w:tcW w:w="1903" w:type="dxa"/>
          </w:tcPr>
          <w:p w14:paraId="080776C1" w14:textId="123E98B6" w:rsidR="00936D1D" w:rsidRDefault="00936D1D" w:rsidP="004F5095">
            <w:pPr>
              <w:tabs>
                <w:tab w:val="center" w:pos="6480"/>
              </w:tabs>
              <w:autoSpaceDE w:val="0"/>
              <w:autoSpaceDN w:val="0"/>
              <w:adjustRightInd w:val="0"/>
              <w:rPr>
                <w:rFonts w:cstheme="minorHAnsi"/>
                <w:sz w:val="20"/>
                <w:szCs w:val="20"/>
              </w:rPr>
            </w:pPr>
            <w:r>
              <w:rPr>
                <w:rFonts w:cstheme="minorHAnsi"/>
                <w:sz w:val="20"/>
                <w:szCs w:val="20"/>
              </w:rPr>
              <w:t>BES0_FACTOR1</w:t>
            </w:r>
          </w:p>
        </w:tc>
        <w:tc>
          <w:tcPr>
            <w:tcW w:w="5788" w:type="dxa"/>
          </w:tcPr>
          <w:p w14:paraId="216382C3" w14:textId="6A783238" w:rsidR="00936D1D" w:rsidRDefault="00936D1D" w:rsidP="00936D1D">
            <w:pPr>
              <w:tabs>
                <w:tab w:val="center" w:pos="6480"/>
              </w:tabs>
              <w:autoSpaceDE w:val="0"/>
              <w:autoSpaceDN w:val="0"/>
              <w:adjustRightInd w:val="0"/>
              <w:rPr>
                <w:rFonts w:cstheme="minorHAnsi"/>
                <w:sz w:val="20"/>
                <w:szCs w:val="20"/>
              </w:rPr>
            </w:pPr>
            <w:r>
              <w:rPr>
                <w:rFonts w:cstheme="minorHAnsi"/>
                <w:sz w:val="20"/>
                <w:szCs w:val="20"/>
              </w:rPr>
              <w:t>Built Environment Factor 1 – Intensity of development: 1/2 mile buffer. Calculated as: (0.88*simple density of Walking Destinations)+(0.87*Population density)+(-0.83*percent residential)</w:t>
            </w:r>
          </w:p>
        </w:tc>
        <w:tc>
          <w:tcPr>
            <w:tcW w:w="1952" w:type="dxa"/>
          </w:tcPr>
          <w:p w14:paraId="019C329C" w14:textId="77777777" w:rsidR="00936D1D" w:rsidRDefault="00936D1D" w:rsidP="00D9229D">
            <w:pPr>
              <w:pStyle w:val="ListParagraph"/>
              <w:ind w:left="0"/>
              <w:rPr>
                <w:rFonts w:cstheme="minorHAnsi"/>
                <w:sz w:val="20"/>
                <w:szCs w:val="20"/>
              </w:rPr>
            </w:pPr>
          </w:p>
        </w:tc>
      </w:tr>
      <w:tr w:rsidR="00936D1D" w:rsidRPr="006E751A" w14:paraId="5641117F" w14:textId="77777777" w:rsidTr="00604541">
        <w:tc>
          <w:tcPr>
            <w:tcW w:w="977" w:type="dxa"/>
          </w:tcPr>
          <w:p w14:paraId="78F36AF4" w14:textId="3D469AAD" w:rsidR="00936D1D" w:rsidRDefault="0032300C" w:rsidP="004F5095">
            <w:pPr>
              <w:tabs>
                <w:tab w:val="center" w:pos="6480"/>
              </w:tabs>
              <w:autoSpaceDE w:val="0"/>
              <w:autoSpaceDN w:val="0"/>
              <w:adjustRightInd w:val="0"/>
              <w:rPr>
                <w:rFonts w:cs="SAS Monospace"/>
                <w:sz w:val="20"/>
                <w:szCs w:val="20"/>
              </w:rPr>
            </w:pPr>
            <w:r>
              <w:rPr>
                <w:rFonts w:cs="SAS Monospace"/>
                <w:sz w:val="20"/>
                <w:szCs w:val="20"/>
              </w:rPr>
              <w:t>359</w:t>
            </w:r>
          </w:p>
        </w:tc>
        <w:tc>
          <w:tcPr>
            <w:tcW w:w="1903" w:type="dxa"/>
          </w:tcPr>
          <w:p w14:paraId="2D5B17F1" w14:textId="6B0939DC" w:rsidR="00936D1D" w:rsidRDefault="00936D1D" w:rsidP="004F5095">
            <w:pPr>
              <w:tabs>
                <w:tab w:val="center" w:pos="6480"/>
              </w:tabs>
              <w:autoSpaceDE w:val="0"/>
              <w:autoSpaceDN w:val="0"/>
              <w:adjustRightInd w:val="0"/>
              <w:rPr>
                <w:rFonts w:cstheme="minorHAnsi"/>
                <w:sz w:val="20"/>
                <w:szCs w:val="20"/>
              </w:rPr>
            </w:pPr>
            <w:r>
              <w:rPr>
                <w:rFonts w:cstheme="minorHAnsi"/>
                <w:sz w:val="20"/>
                <w:szCs w:val="20"/>
              </w:rPr>
              <w:t>BE0_FACTOR2</w:t>
            </w:r>
          </w:p>
        </w:tc>
        <w:tc>
          <w:tcPr>
            <w:tcW w:w="5788" w:type="dxa"/>
          </w:tcPr>
          <w:p w14:paraId="1AB2316D" w14:textId="72B37B8A" w:rsidR="00936D1D" w:rsidRDefault="00936D1D" w:rsidP="00936D1D">
            <w:pPr>
              <w:tabs>
                <w:tab w:val="center" w:pos="6480"/>
              </w:tabs>
              <w:autoSpaceDE w:val="0"/>
              <w:autoSpaceDN w:val="0"/>
              <w:adjustRightInd w:val="0"/>
              <w:rPr>
                <w:rFonts w:cstheme="minorHAnsi"/>
                <w:sz w:val="20"/>
                <w:szCs w:val="20"/>
              </w:rPr>
            </w:pPr>
            <w:r>
              <w:rPr>
                <w:rFonts w:cstheme="minorHAnsi"/>
                <w:sz w:val="20"/>
                <w:szCs w:val="20"/>
              </w:rPr>
              <w:t>Built Environment Factor 2 – Connected Retail centers: 1/2 mile buffer. Calculated as: (0.80*Network Ratio)+(0.85*percent retail)</w:t>
            </w:r>
          </w:p>
        </w:tc>
        <w:tc>
          <w:tcPr>
            <w:tcW w:w="1952" w:type="dxa"/>
          </w:tcPr>
          <w:p w14:paraId="411ED0E7" w14:textId="77777777" w:rsidR="00936D1D" w:rsidRDefault="00936D1D" w:rsidP="00D9229D">
            <w:pPr>
              <w:pStyle w:val="ListParagraph"/>
              <w:ind w:left="0"/>
              <w:rPr>
                <w:rFonts w:cstheme="minorHAnsi"/>
                <w:sz w:val="20"/>
                <w:szCs w:val="20"/>
              </w:rPr>
            </w:pPr>
          </w:p>
        </w:tc>
      </w:tr>
      <w:tr w:rsidR="00936D1D" w:rsidRPr="006E751A" w14:paraId="50D9D264" w14:textId="77777777" w:rsidTr="00604541">
        <w:tc>
          <w:tcPr>
            <w:tcW w:w="977" w:type="dxa"/>
          </w:tcPr>
          <w:p w14:paraId="71C2B9FB" w14:textId="78D8ED94" w:rsidR="00936D1D" w:rsidRDefault="0032300C" w:rsidP="004F5095">
            <w:pPr>
              <w:tabs>
                <w:tab w:val="center" w:pos="6480"/>
              </w:tabs>
              <w:autoSpaceDE w:val="0"/>
              <w:autoSpaceDN w:val="0"/>
              <w:adjustRightInd w:val="0"/>
              <w:rPr>
                <w:rFonts w:cs="SAS Monospace"/>
                <w:sz w:val="20"/>
                <w:szCs w:val="20"/>
              </w:rPr>
            </w:pPr>
            <w:r>
              <w:rPr>
                <w:rFonts w:cs="SAS Monospace"/>
                <w:sz w:val="20"/>
                <w:szCs w:val="20"/>
              </w:rPr>
              <w:t>360</w:t>
            </w:r>
          </w:p>
        </w:tc>
        <w:tc>
          <w:tcPr>
            <w:tcW w:w="1903" w:type="dxa"/>
          </w:tcPr>
          <w:p w14:paraId="5665D95A" w14:textId="59E5E4A2" w:rsidR="00936D1D" w:rsidRDefault="00936D1D" w:rsidP="004F5095">
            <w:pPr>
              <w:tabs>
                <w:tab w:val="center" w:pos="6480"/>
              </w:tabs>
              <w:autoSpaceDE w:val="0"/>
              <w:autoSpaceDN w:val="0"/>
              <w:adjustRightInd w:val="0"/>
              <w:rPr>
                <w:rFonts w:cstheme="minorHAnsi"/>
                <w:sz w:val="20"/>
                <w:szCs w:val="20"/>
              </w:rPr>
            </w:pPr>
            <w:r>
              <w:rPr>
                <w:rFonts w:cstheme="minorHAnsi"/>
                <w:sz w:val="20"/>
                <w:szCs w:val="20"/>
              </w:rPr>
              <w:t>A_BES0_FACTOR1</w:t>
            </w:r>
          </w:p>
        </w:tc>
        <w:tc>
          <w:tcPr>
            <w:tcW w:w="5788" w:type="dxa"/>
          </w:tcPr>
          <w:p w14:paraId="1C50459D" w14:textId="5282D66C" w:rsidR="00936D1D" w:rsidRDefault="00936D1D" w:rsidP="00936D1D">
            <w:pPr>
              <w:tabs>
                <w:tab w:val="center" w:pos="6480"/>
              </w:tabs>
              <w:autoSpaceDE w:val="0"/>
              <w:autoSpaceDN w:val="0"/>
              <w:adjustRightInd w:val="0"/>
              <w:rPr>
                <w:rFonts w:cstheme="minorHAnsi"/>
                <w:sz w:val="20"/>
                <w:szCs w:val="20"/>
              </w:rPr>
            </w:pPr>
            <w:r>
              <w:rPr>
                <w:rFonts w:cstheme="minorHAnsi"/>
                <w:sz w:val="20"/>
                <w:szCs w:val="20"/>
              </w:rPr>
              <w:t>Cumulative average of Built Environment Factor 1 – Intensity of development: 1/2 mile buffer. Calculated as: (0.88*simple density of Walking Destinations)+(0.87*Population density)+(-0.83*percent residential)</w:t>
            </w:r>
          </w:p>
        </w:tc>
        <w:tc>
          <w:tcPr>
            <w:tcW w:w="1952" w:type="dxa"/>
          </w:tcPr>
          <w:p w14:paraId="4E8B4B6F" w14:textId="77777777" w:rsidR="00936D1D" w:rsidRDefault="00936D1D" w:rsidP="00D9229D">
            <w:pPr>
              <w:pStyle w:val="ListParagraph"/>
              <w:ind w:left="0"/>
              <w:rPr>
                <w:rFonts w:cstheme="minorHAnsi"/>
                <w:sz w:val="20"/>
                <w:szCs w:val="20"/>
              </w:rPr>
            </w:pPr>
          </w:p>
        </w:tc>
      </w:tr>
      <w:tr w:rsidR="00936D1D" w:rsidRPr="006E751A" w14:paraId="1EB5D7B2" w14:textId="77777777" w:rsidTr="00604541">
        <w:tc>
          <w:tcPr>
            <w:tcW w:w="977" w:type="dxa"/>
          </w:tcPr>
          <w:p w14:paraId="7B5BCB1C" w14:textId="42C480FD" w:rsidR="00936D1D" w:rsidRDefault="0032300C" w:rsidP="004F5095">
            <w:pPr>
              <w:tabs>
                <w:tab w:val="center" w:pos="6480"/>
              </w:tabs>
              <w:autoSpaceDE w:val="0"/>
              <w:autoSpaceDN w:val="0"/>
              <w:adjustRightInd w:val="0"/>
              <w:rPr>
                <w:rFonts w:cs="SAS Monospace"/>
                <w:sz w:val="20"/>
                <w:szCs w:val="20"/>
              </w:rPr>
            </w:pPr>
            <w:r>
              <w:rPr>
                <w:rFonts w:cs="SAS Monospace"/>
                <w:sz w:val="20"/>
                <w:szCs w:val="20"/>
              </w:rPr>
              <w:t>361</w:t>
            </w:r>
          </w:p>
        </w:tc>
        <w:tc>
          <w:tcPr>
            <w:tcW w:w="1903" w:type="dxa"/>
          </w:tcPr>
          <w:p w14:paraId="0B8BE191" w14:textId="638111C3" w:rsidR="00936D1D" w:rsidRDefault="00936D1D" w:rsidP="004F5095">
            <w:pPr>
              <w:tabs>
                <w:tab w:val="center" w:pos="6480"/>
              </w:tabs>
              <w:autoSpaceDE w:val="0"/>
              <w:autoSpaceDN w:val="0"/>
              <w:adjustRightInd w:val="0"/>
              <w:rPr>
                <w:rFonts w:cstheme="minorHAnsi"/>
                <w:sz w:val="20"/>
                <w:szCs w:val="20"/>
              </w:rPr>
            </w:pPr>
            <w:r>
              <w:rPr>
                <w:rFonts w:cstheme="minorHAnsi"/>
                <w:sz w:val="20"/>
                <w:szCs w:val="20"/>
              </w:rPr>
              <w:t>A_BE0_FACTOR2</w:t>
            </w:r>
          </w:p>
        </w:tc>
        <w:tc>
          <w:tcPr>
            <w:tcW w:w="5788" w:type="dxa"/>
          </w:tcPr>
          <w:p w14:paraId="10593CD6" w14:textId="0068D9BC" w:rsidR="00936D1D" w:rsidRDefault="00936D1D" w:rsidP="00936D1D">
            <w:pPr>
              <w:tabs>
                <w:tab w:val="center" w:pos="6480"/>
              </w:tabs>
              <w:autoSpaceDE w:val="0"/>
              <w:autoSpaceDN w:val="0"/>
              <w:adjustRightInd w:val="0"/>
              <w:rPr>
                <w:rFonts w:cstheme="minorHAnsi"/>
                <w:sz w:val="20"/>
                <w:szCs w:val="20"/>
              </w:rPr>
            </w:pPr>
            <w:r>
              <w:rPr>
                <w:rFonts w:cstheme="minorHAnsi"/>
                <w:sz w:val="20"/>
                <w:szCs w:val="20"/>
              </w:rPr>
              <w:t>Cumulative average of Built Environment Factor 2 – Connected Retail centers: 1/2 mile buffer. Calculated as: (0.80*Network Ratio)+(0.85*percent retail)</w:t>
            </w:r>
          </w:p>
        </w:tc>
        <w:tc>
          <w:tcPr>
            <w:tcW w:w="1952" w:type="dxa"/>
          </w:tcPr>
          <w:p w14:paraId="4A7FAA52" w14:textId="77777777" w:rsidR="00936D1D" w:rsidRDefault="00936D1D" w:rsidP="00D9229D">
            <w:pPr>
              <w:pStyle w:val="ListParagraph"/>
              <w:ind w:left="0"/>
              <w:rPr>
                <w:rFonts w:cstheme="minorHAnsi"/>
                <w:sz w:val="20"/>
                <w:szCs w:val="20"/>
              </w:rPr>
            </w:pPr>
          </w:p>
        </w:tc>
      </w:tr>
      <w:tr w:rsidR="00A24670" w:rsidRPr="006E751A" w14:paraId="38A80232" w14:textId="77777777" w:rsidTr="00604541">
        <w:tc>
          <w:tcPr>
            <w:tcW w:w="977" w:type="dxa"/>
          </w:tcPr>
          <w:p w14:paraId="6DCACD8C" w14:textId="68CA5CD2" w:rsidR="00A24670" w:rsidRDefault="0032300C" w:rsidP="004F5095">
            <w:pPr>
              <w:tabs>
                <w:tab w:val="center" w:pos="6480"/>
              </w:tabs>
              <w:autoSpaceDE w:val="0"/>
              <w:autoSpaceDN w:val="0"/>
              <w:adjustRightInd w:val="0"/>
              <w:rPr>
                <w:rFonts w:cs="SAS Monospace"/>
                <w:sz w:val="20"/>
                <w:szCs w:val="20"/>
              </w:rPr>
            </w:pPr>
            <w:r>
              <w:rPr>
                <w:rFonts w:cs="SAS Monospace"/>
                <w:sz w:val="20"/>
                <w:szCs w:val="20"/>
              </w:rPr>
              <w:t>362</w:t>
            </w:r>
          </w:p>
        </w:tc>
        <w:tc>
          <w:tcPr>
            <w:tcW w:w="1903" w:type="dxa"/>
          </w:tcPr>
          <w:p w14:paraId="183C6A36" w14:textId="40F9ADAB" w:rsidR="00A24670" w:rsidRDefault="00A24670" w:rsidP="004F5095">
            <w:pPr>
              <w:tabs>
                <w:tab w:val="center" w:pos="6480"/>
              </w:tabs>
              <w:autoSpaceDE w:val="0"/>
              <w:autoSpaceDN w:val="0"/>
              <w:adjustRightInd w:val="0"/>
              <w:rPr>
                <w:rFonts w:cstheme="minorHAnsi"/>
                <w:sz w:val="20"/>
                <w:szCs w:val="20"/>
              </w:rPr>
            </w:pPr>
            <w:r>
              <w:rPr>
                <w:rFonts w:cstheme="minorHAnsi"/>
                <w:sz w:val="20"/>
                <w:szCs w:val="20"/>
              </w:rPr>
              <w:t>BES0_FACTOR1ip</w:t>
            </w:r>
          </w:p>
        </w:tc>
        <w:tc>
          <w:tcPr>
            <w:tcW w:w="5788" w:type="dxa"/>
          </w:tcPr>
          <w:p w14:paraId="60C35C87" w14:textId="1A761272" w:rsidR="00A24670" w:rsidRDefault="00A24670" w:rsidP="00936D1D">
            <w:pPr>
              <w:tabs>
                <w:tab w:val="center" w:pos="6480"/>
              </w:tabs>
              <w:autoSpaceDE w:val="0"/>
              <w:autoSpaceDN w:val="0"/>
              <w:adjustRightInd w:val="0"/>
              <w:rPr>
                <w:rFonts w:cstheme="minorHAnsi"/>
                <w:sz w:val="20"/>
                <w:szCs w:val="20"/>
              </w:rPr>
            </w:pPr>
            <w:r>
              <w:rPr>
                <w:rFonts w:cstheme="minorHAnsi"/>
                <w:sz w:val="20"/>
                <w:szCs w:val="20"/>
              </w:rPr>
              <w:t>Interpolated Built Environment Factor 1 – Intensity of development: 1/2 mile buffer. Calculated as: (0.88*simple density of Walking Destinations)+(0.87*Population density)+(-0.83*percent residential)</w:t>
            </w:r>
          </w:p>
        </w:tc>
        <w:tc>
          <w:tcPr>
            <w:tcW w:w="1952" w:type="dxa"/>
          </w:tcPr>
          <w:p w14:paraId="41C188C0" w14:textId="77777777" w:rsidR="00A24670" w:rsidRDefault="00A24670" w:rsidP="00D9229D">
            <w:pPr>
              <w:pStyle w:val="ListParagraph"/>
              <w:ind w:left="0"/>
              <w:rPr>
                <w:rFonts w:cstheme="minorHAnsi"/>
                <w:sz w:val="20"/>
                <w:szCs w:val="20"/>
              </w:rPr>
            </w:pPr>
          </w:p>
        </w:tc>
      </w:tr>
      <w:tr w:rsidR="00A24670" w:rsidRPr="006E751A" w14:paraId="5E6BA2FA" w14:textId="77777777" w:rsidTr="00604541">
        <w:tc>
          <w:tcPr>
            <w:tcW w:w="977" w:type="dxa"/>
          </w:tcPr>
          <w:p w14:paraId="479CDC39" w14:textId="0CC57ADF" w:rsidR="00A24670" w:rsidRDefault="0032300C" w:rsidP="004F5095">
            <w:pPr>
              <w:tabs>
                <w:tab w:val="center" w:pos="6480"/>
              </w:tabs>
              <w:autoSpaceDE w:val="0"/>
              <w:autoSpaceDN w:val="0"/>
              <w:adjustRightInd w:val="0"/>
              <w:rPr>
                <w:rFonts w:cs="SAS Monospace"/>
                <w:sz w:val="20"/>
                <w:szCs w:val="20"/>
              </w:rPr>
            </w:pPr>
            <w:r>
              <w:rPr>
                <w:rFonts w:cs="SAS Monospace"/>
                <w:sz w:val="20"/>
                <w:szCs w:val="20"/>
              </w:rPr>
              <w:t>363</w:t>
            </w:r>
          </w:p>
        </w:tc>
        <w:tc>
          <w:tcPr>
            <w:tcW w:w="1903" w:type="dxa"/>
          </w:tcPr>
          <w:p w14:paraId="67B94C59" w14:textId="458856C8" w:rsidR="00A24670" w:rsidRDefault="00A24670" w:rsidP="004F5095">
            <w:pPr>
              <w:tabs>
                <w:tab w:val="center" w:pos="6480"/>
              </w:tabs>
              <w:autoSpaceDE w:val="0"/>
              <w:autoSpaceDN w:val="0"/>
              <w:adjustRightInd w:val="0"/>
              <w:rPr>
                <w:rFonts w:cstheme="minorHAnsi"/>
                <w:sz w:val="20"/>
                <w:szCs w:val="20"/>
              </w:rPr>
            </w:pPr>
            <w:r>
              <w:rPr>
                <w:rFonts w:cstheme="minorHAnsi"/>
                <w:sz w:val="20"/>
                <w:szCs w:val="20"/>
              </w:rPr>
              <w:t>BE0_FACTOR2ip</w:t>
            </w:r>
          </w:p>
        </w:tc>
        <w:tc>
          <w:tcPr>
            <w:tcW w:w="5788" w:type="dxa"/>
          </w:tcPr>
          <w:p w14:paraId="4AB2E3C6" w14:textId="3EAE6672" w:rsidR="00A24670" w:rsidRDefault="00A24670" w:rsidP="00936D1D">
            <w:pPr>
              <w:tabs>
                <w:tab w:val="center" w:pos="6480"/>
              </w:tabs>
              <w:autoSpaceDE w:val="0"/>
              <w:autoSpaceDN w:val="0"/>
              <w:adjustRightInd w:val="0"/>
              <w:rPr>
                <w:rFonts w:cstheme="minorHAnsi"/>
                <w:sz w:val="20"/>
                <w:szCs w:val="20"/>
              </w:rPr>
            </w:pPr>
            <w:r>
              <w:rPr>
                <w:rFonts w:cstheme="minorHAnsi"/>
                <w:sz w:val="20"/>
                <w:szCs w:val="20"/>
              </w:rPr>
              <w:t>Interpolated Built Environment Factor 2 – Connected Retail centers: 1/2 mile buffer. Calculated as: (0.80*Network Ratio)+(0.85*percent retail)</w:t>
            </w:r>
          </w:p>
        </w:tc>
        <w:tc>
          <w:tcPr>
            <w:tcW w:w="1952" w:type="dxa"/>
          </w:tcPr>
          <w:p w14:paraId="4BD8FCEB" w14:textId="77777777" w:rsidR="00A24670" w:rsidRDefault="00A24670" w:rsidP="00D9229D">
            <w:pPr>
              <w:pStyle w:val="ListParagraph"/>
              <w:ind w:left="0"/>
              <w:rPr>
                <w:rFonts w:cstheme="minorHAnsi"/>
                <w:sz w:val="20"/>
                <w:szCs w:val="20"/>
              </w:rPr>
            </w:pPr>
          </w:p>
        </w:tc>
      </w:tr>
      <w:tr w:rsidR="0010607A" w:rsidRPr="006E751A" w14:paraId="6CBA24E8" w14:textId="77777777" w:rsidTr="00604541">
        <w:tc>
          <w:tcPr>
            <w:tcW w:w="977" w:type="dxa"/>
          </w:tcPr>
          <w:p w14:paraId="50A64209" w14:textId="5098747A" w:rsidR="0010607A" w:rsidRDefault="0032300C" w:rsidP="004F5095">
            <w:pPr>
              <w:tabs>
                <w:tab w:val="center" w:pos="6480"/>
              </w:tabs>
              <w:autoSpaceDE w:val="0"/>
              <w:autoSpaceDN w:val="0"/>
              <w:adjustRightInd w:val="0"/>
              <w:rPr>
                <w:rFonts w:cs="SAS Monospace"/>
                <w:sz w:val="20"/>
                <w:szCs w:val="20"/>
              </w:rPr>
            </w:pPr>
            <w:r>
              <w:rPr>
                <w:rFonts w:cs="SAS Monospace"/>
                <w:sz w:val="20"/>
                <w:szCs w:val="20"/>
              </w:rPr>
              <w:t>364</w:t>
            </w:r>
          </w:p>
        </w:tc>
        <w:tc>
          <w:tcPr>
            <w:tcW w:w="1903" w:type="dxa"/>
          </w:tcPr>
          <w:p w14:paraId="154041B7" w14:textId="1F093DE1"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BES1_FACTOR1</w:t>
            </w:r>
          </w:p>
        </w:tc>
        <w:tc>
          <w:tcPr>
            <w:tcW w:w="5788" w:type="dxa"/>
          </w:tcPr>
          <w:p w14:paraId="5D25D947" w14:textId="158D6C15"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Built Environment Factor 1 – Intensity of development: 1 mile buffer. Calculated as: (0.88*simple density of Walking Destinations)+(0.87*Population density)+(-0.83*percent residential)</w:t>
            </w:r>
          </w:p>
        </w:tc>
        <w:tc>
          <w:tcPr>
            <w:tcW w:w="1952" w:type="dxa"/>
          </w:tcPr>
          <w:p w14:paraId="100D63CB" w14:textId="77777777" w:rsidR="0010607A" w:rsidRDefault="0010607A" w:rsidP="00D9229D">
            <w:pPr>
              <w:pStyle w:val="ListParagraph"/>
              <w:ind w:left="0"/>
              <w:rPr>
                <w:rFonts w:cstheme="minorHAnsi"/>
                <w:sz w:val="20"/>
                <w:szCs w:val="20"/>
              </w:rPr>
            </w:pPr>
          </w:p>
        </w:tc>
      </w:tr>
      <w:tr w:rsidR="0010607A" w:rsidRPr="006E751A" w14:paraId="6571FB6F" w14:textId="77777777" w:rsidTr="00604541">
        <w:tc>
          <w:tcPr>
            <w:tcW w:w="977" w:type="dxa"/>
          </w:tcPr>
          <w:p w14:paraId="08F2E4F9" w14:textId="479F429B" w:rsidR="0010607A" w:rsidRDefault="0032300C" w:rsidP="0010607A">
            <w:pPr>
              <w:tabs>
                <w:tab w:val="center" w:pos="6480"/>
              </w:tabs>
              <w:autoSpaceDE w:val="0"/>
              <w:autoSpaceDN w:val="0"/>
              <w:adjustRightInd w:val="0"/>
              <w:rPr>
                <w:rFonts w:cs="SAS Monospace"/>
                <w:sz w:val="20"/>
                <w:szCs w:val="20"/>
              </w:rPr>
            </w:pPr>
            <w:r>
              <w:rPr>
                <w:rFonts w:cs="SAS Monospace"/>
                <w:sz w:val="20"/>
                <w:szCs w:val="20"/>
              </w:rPr>
              <w:t>365</w:t>
            </w:r>
          </w:p>
        </w:tc>
        <w:tc>
          <w:tcPr>
            <w:tcW w:w="1903" w:type="dxa"/>
          </w:tcPr>
          <w:p w14:paraId="6946CC2B" w14:textId="15359763"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BE1_FACTOR2</w:t>
            </w:r>
          </w:p>
        </w:tc>
        <w:tc>
          <w:tcPr>
            <w:tcW w:w="5788" w:type="dxa"/>
          </w:tcPr>
          <w:p w14:paraId="5C1371CD" w14:textId="6CC94049"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Built Environment Factor 2 – Connected Retail centers: 1 mile buffer. Calculated as: (0.80*Network Ratio)+(0.85*percent retail)</w:t>
            </w:r>
          </w:p>
        </w:tc>
        <w:tc>
          <w:tcPr>
            <w:tcW w:w="1952" w:type="dxa"/>
          </w:tcPr>
          <w:p w14:paraId="710199B0" w14:textId="77777777" w:rsidR="0010607A" w:rsidRDefault="0010607A" w:rsidP="00D9229D">
            <w:pPr>
              <w:pStyle w:val="ListParagraph"/>
              <w:ind w:left="0"/>
              <w:rPr>
                <w:rFonts w:cstheme="minorHAnsi"/>
                <w:sz w:val="20"/>
                <w:szCs w:val="20"/>
              </w:rPr>
            </w:pPr>
          </w:p>
        </w:tc>
      </w:tr>
      <w:tr w:rsidR="0010607A" w:rsidRPr="006E751A" w14:paraId="3A33F451" w14:textId="77777777" w:rsidTr="00604541">
        <w:tc>
          <w:tcPr>
            <w:tcW w:w="977" w:type="dxa"/>
          </w:tcPr>
          <w:p w14:paraId="409B7B02" w14:textId="39412DF2" w:rsidR="0010607A" w:rsidRDefault="0032300C" w:rsidP="0010607A">
            <w:pPr>
              <w:tabs>
                <w:tab w:val="center" w:pos="6480"/>
              </w:tabs>
              <w:autoSpaceDE w:val="0"/>
              <w:autoSpaceDN w:val="0"/>
              <w:adjustRightInd w:val="0"/>
              <w:rPr>
                <w:rFonts w:cs="SAS Monospace"/>
                <w:sz w:val="20"/>
                <w:szCs w:val="20"/>
              </w:rPr>
            </w:pPr>
            <w:r>
              <w:rPr>
                <w:rFonts w:cs="SAS Monospace"/>
                <w:sz w:val="20"/>
                <w:szCs w:val="20"/>
              </w:rPr>
              <w:t>366</w:t>
            </w:r>
          </w:p>
        </w:tc>
        <w:tc>
          <w:tcPr>
            <w:tcW w:w="1903" w:type="dxa"/>
          </w:tcPr>
          <w:p w14:paraId="27CADD49" w14:textId="5443F9C7"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A_BES1_FACTOR1</w:t>
            </w:r>
          </w:p>
        </w:tc>
        <w:tc>
          <w:tcPr>
            <w:tcW w:w="5788" w:type="dxa"/>
          </w:tcPr>
          <w:p w14:paraId="2C980007" w14:textId="6FCF15B1"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Cumulative average of Built Environment Factor 1 – Intensity of development: 1 mile buffer. Calculated as: (0.88*simple density of Walking Destinations)+(0.87*Population density)+(-0.83*percent residential)</w:t>
            </w:r>
          </w:p>
        </w:tc>
        <w:tc>
          <w:tcPr>
            <w:tcW w:w="1952" w:type="dxa"/>
          </w:tcPr>
          <w:p w14:paraId="5E45E375" w14:textId="77777777" w:rsidR="0010607A" w:rsidRDefault="0010607A" w:rsidP="00D9229D">
            <w:pPr>
              <w:pStyle w:val="ListParagraph"/>
              <w:ind w:left="0"/>
              <w:rPr>
                <w:rFonts w:cstheme="minorHAnsi"/>
                <w:sz w:val="20"/>
                <w:szCs w:val="20"/>
              </w:rPr>
            </w:pPr>
          </w:p>
        </w:tc>
      </w:tr>
      <w:tr w:rsidR="0010607A" w:rsidRPr="006E751A" w14:paraId="064C6288" w14:textId="77777777" w:rsidTr="00604541">
        <w:tc>
          <w:tcPr>
            <w:tcW w:w="977" w:type="dxa"/>
          </w:tcPr>
          <w:p w14:paraId="0AAA1EE5" w14:textId="0746A4FD" w:rsidR="0010607A" w:rsidRDefault="0032300C" w:rsidP="0010607A">
            <w:pPr>
              <w:tabs>
                <w:tab w:val="center" w:pos="6480"/>
              </w:tabs>
              <w:autoSpaceDE w:val="0"/>
              <w:autoSpaceDN w:val="0"/>
              <w:adjustRightInd w:val="0"/>
              <w:rPr>
                <w:rFonts w:cs="SAS Monospace"/>
                <w:sz w:val="20"/>
                <w:szCs w:val="20"/>
              </w:rPr>
            </w:pPr>
            <w:r>
              <w:rPr>
                <w:rFonts w:cs="SAS Monospace"/>
                <w:sz w:val="20"/>
                <w:szCs w:val="20"/>
              </w:rPr>
              <w:t>367</w:t>
            </w:r>
          </w:p>
        </w:tc>
        <w:tc>
          <w:tcPr>
            <w:tcW w:w="1903" w:type="dxa"/>
          </w:tcPr>
          <w:p w14:paraId="3B6FFFF3" w14:textId="2125E8B5"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A_BE1_FACTOR2</w:t>
            </w:r>
          </w:p>
        </w:tc>
        <w:tc>
          <w:tcPr>
            <w:tcW w:w="5788" w:type="dxa"/>
          </w:tcPr>
          <w:p w14:paraId="52BACF10" w14:textId="00880E77"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Cumulative average of Built Environment Factor 2 – Connected Retail centers: 1 mile buffer. Calculated as: (0.80*Network Ratio)+(0.85*percent retail)</w:t>
            </w:r>
          </w:p>
        </w:tc>
        <w:tc>
          <w:tcPr>
            <w:tcW w:w="1952" w:type="dxa"/>
          </w:tcPr>
          <w:p w14:paraId="63A68515" w14:textId="77777777" w:rsidR="0010607A" w:rsidRDefault="0010607A" w:rsidP="00D9229D">
            <w:pPr>
              <w:pStyle w:val="ListParagraph"/>
              <w:ind w:left="0"/>
              <w:rPr>
                <w:rFonts w:cstheme="minorHAnsi"/>
                <w:sz w:val="20"/>
                <w:szCs w:val="20"/>
              </w:rPr>
            </w:pPr>
          </w:p>
        </w:tc>
      </w:tr>
      <w:tr w:rsidR="0010607A" w:rsidRPr="006E751A" w14:paraId="3F8198F2" w14:textId="77777777" w:rsidTr="00604541">
        <w:tc>
          <w:tcPr>
            <w:tcW w:w="977" w:type="dxa"/>
          </w:tcPr>
          <w:p w14:paraId="391AF52C" w14:textId="5D10EC69" w:rsidR="0010607A" w:rsidRDefault="0032300C" w:rsidP="0010607A">
            <w:pPr>
              <w:tabs>
                <w:tab w:val="center" w:pos="6480"/>
              </w:tabs>
              <w:autoSpaceDE w:val="0"/>
              <w:autoSpaceDN w:val="0"/>
              <w:adjustRightInd w:val="0"/>
              <w:rPr>
                <w:rFonts w:cs="SAS Monospace"/>
                <w:sz w:val="20"/>
                <w:szCs w:val="20"/>
              </w:rPr>
            </w:pPr>
            <w:r>
              <w:rPr>
                <w:rFonts w:cs="SAS Monospace"/>
                <w:sz w:val="20"/>
                <w:szCs w:val="20"/>
              </w:rPr>
              <w:t>368</w:t>
            </w:r>
          </w:p>
        </w:tc>
        <w:tc>
          <w:tcPr>
            <w:tcW w:w="1903" w:type="dxa"/>
          </w:tcPr>
          <w:p w14:paraId="5A3C5DD8" w14:textId="71025295"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BES1_FACTOR1ip</w:t>
            </w:r>
          </w:p>
        </w:tc>
        <w:tc>
          <w:tcPr>
            <w:tcW w:w="5788" w:type="dxa"/>
          </w:tcPr>
          <w:p w14:paraId="58E8FE89" w14:textId="511A5EC9"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Interpolated Built Environment Factor 1 – Intensity of development: 1 mile buffer. Calculated as: (0.88*simple density of Walking Destinations)+(0.87*Population density)+(-0.83*percent residential)</w:t>
            </w:r>
          </w:p>
        </w:tc>
        <w:tc>
          <w:tcPr>
            <w:tcW w:w="1952" w:type="dxa"/>
          </w:tcPr>
          <w:p w14:paraId="7D79AA27" w14:textId="77777777" w:rsidR="0010607A" w:rsidRDefault="0010607A" w:rsidP="00D9229D">
            <w:pPr>
              <w:pStyle w:val="ListParagraph"/>
              <w:ind w:left="0"/>
              <w:rPr>
                <w:rFonts w:cstheme="minorHAnsi"/>
                <w:sz w:val="20"/>
                <w:szCs w:val="20"/>
              </w:rPr>
            </w:pPr>
          </w:p>
        </w:tc>
      </w:tr>
      <w:tr w:rsidR="0010607A" w:rsidRPr="006E751A" w14:paraId="29436419" w14:textId="77777777" w:rsidTr="00604541">
        <w:tc>
          <w:tcPr>
            <w:tcW w:w="977" w:type="dxa"/>
          </w:tcPr>
          <w:p w14:paraId="15EF0B04" w14:textId="3DCEB351" w:rsidR="0010607A" w:rsidRDefault="0032300C" w:rsidP="0010607A">
            <w:pPr>
              <w:tabs>
                <w:tab w:val="center" w:pos="6480"/>
              </w:tabs>
              <w:autoSpaceDE w:val="0"/>
              <w:autoSpaceDN w:val="0"/>
              <w:adjustRightInd w:val="0"/>
              <w:rPr>
                <w:rFonts w:cs="SAS Monospace"/>
                <w:sz w:val="20"/>
                <w:szCs w:val="20"/>
              </w:rPr>
            </w:pPr>
            <w:r>
              <w:rPr>
                <w:rFonts w:cs="SAS Monospace"/>
                <w:sz w:val="20"/>
                <w:szCs w:val="20"/>
              </w:rPr>
              <w:t>369</w:t>
            </w:r>
          </w:p>
        </w:tc>
        <w:tc>
          <w:tcPr>
            <w:tcW w:w="1903" w:type="dxa"/>
          </w:tcPr>
          <w:p w14:paraId="0E866854" w14:textId="2741280F"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BE1_FACTOR2ip</w:t>
            </w:r>
          </w:p>
        </w:tc>
        <w:tc>
          <w:tcPr>
            <w:tcW w:w="5788" w:type="dxa"/>
          </w:tcPr>
          <w:p w14:paraId="555D2A1E" w14:textId="707EF69F" w:rsidR="0010607A" w:rsidRDefault="0010607A" w:rsidP="0010607A">
            <w:pPr>
              <w:tabs>
                <w:tab w:val="center" w:pos="6480"/>
              </w:tabs>
              <w:autoSpaceDE w:val="0"/>
              <w:autoSpaceDN w:val="0"/>
              <w:adjustRightInd w:val="0"/>
              <w:rPr>
                <w:rFonts w:cstheme="minorHAnsi"/>
                <w:sz w:val="20"/>
                <w:szCs w:val="20"/>
              </w:rPr>
            </w:pPr>
            <w:r>
              <w:rPr>
                <w:rFonts w:cstheme="minorHAnsi"/>
                <w:sz w:val="20"/>
                <w:szCs w:val="20"/>
              </w:rPr>
              <w:t>Interpolated Built Environment Factor 2 – Connected Retail centers: 1 mile buffer. Calculated as: (0.80*Network Ratio)+(0.85*percent retail)</w:t>
            </w:r>
          </w:p>
        </w:tc>
        <w:tc>
          <w:tcPr>
            <w:tcW w:w="1952" w:type="dxa"/>
          </w:tcPr>
          <w:p w14:paraId="7225A54D" w14:textId="77777777" w:rsidR="0010607A" w:rsidRDefault="0010607A" w:rsidP="00D9229D">
            <w:pPr>
              <w:pStyle w:val="ListParagraph"/>
              <w:ind w:left="0"/>
              <w:rPr>
                <w:rFonts w:cstheme="minorHAnsi"/>
                <w:sz w:val="20"/>
                <w:szCs w:val="20"/>
              </w:rPr>
            </w:pPr>
          </w:p>
        </w:tc>
      </w:tr>
    </w:tbl>
    <w:p w14:paraId="4FCA1F37" w14:textId="77777777" w:rsidR="0010607A" w:rsidRDefault="0010607A" w:rsidP="005D54B5">
      <w:pPr>
        <w:pStyle w:val="Heading1"/>
        <w:rPr>
          <w:highlight w:val="yellow"/>
        </w:rPr>
      </w:pPr>
    </w:p>
    <w:p w14:paraId="14088E20" w14:textId="77777777" w:rsidR="0010607A" w:rsidRDefault="0010607A">
      <w:pPr>
        <w:rPr>
          <w:rFonts w:asciiTheme="majorHAnsi" w:eastAsiaTheme="majorEastAsia" w:hAnsiTheme="majorHAnsi" w:cstheme="majorBidi"/>
          <w:b/>
          <w:bCs/>
          <w:color w:val="365F91" w:themeColor="accent1" w:themeShade="BF"/>
          <w:sz w:val="28"/>
          <w:szCs w:val="28"/>
          <w:highlight w:val="yellow"/>
          <w:u w:val="single"/>
        </w:rPr>
      </w:pPr>
      <w:r>
        <w:rPr>
          <w:highlight w:val="yellow"/>
        </w:rPr>
        <w:br w:type="page"/>
      </w:r>
    </w:p>
    <w:p w14:paraId="4EC2A4AC" w14:textId="181C62D7" w:rsidR="005D54B5" w:rsidRPr="00601FAF" w:rsidRDefault="005D54B5" w:rsidP="005D54B5">
      <w:pPr>
        <w:pStyle w:val="Heading1"/>
      </w:pPr>
      <w:r w:rsidRPr="00601FAF">
        <w:lastRenderedPageBreak/>
        <w:t>Details:</w:t>
      </w:r>
    </w:p>
    <w:p w14:paraId="1C34470F" w14:textId="12075F85" w:rsidR="00AC7688" w:rsidRPr="00601FAF" w:rsidRDefault="00601FAF" w:rsidP="005D54B5">
      <w:pPr>
        <w:pStyle w:val="Heading2"/>
      </w:pPr>
      <w:r>
        <w:t>National Establishment Time Series Based Data</w:t>
      </w:r>
      <w:r w:rsidR="005A719B">
        <w:t xml:space="preserve"> (General</w:t>
      </w:r>
      <w:r w:rsidR="00501D17">
        <w:t xml:space="preserve"> Information</w:t>
      </w:r>
      <w:r w:rsidR="005A719B">
        <w:t>)</w:t>
      </w:r>
    </w:p>
    <w:p w14:paraId="3C0A3979" w14:textId="7F8674EA" w:rsidR="00601FAF" w:rsidRDefault="00601FAF" w:rsidP="00601FAF">
      <w:r>
        <w:t>Business data for food stores, recreational facilities, social engagement destinations, and popular walking destinations were purchased using the National Establishment Time Series (NETS)</w:t>
      </w:r>
      <w:r w:rsidR="00FF50C8">
        <w:rPr>
          <w:rStyle w:val="FootnoteReference"/>
        </w:rPr>
        <w:footnoteReference w:id="3"/>
      </w:r>
      <w:r>
        <w:t xml:space="preserve"> data from Walls and Associates for all zip codes within a 5-mile buffer of any MESA address.</w:t>
      </w:r>
      <w:r w:rsidRPr="00836927">
        <w:t xml:space="preserve"> </w:t>
      </w:r>
      <w:r>
        <w:t xml:space="preserve"> This data is available for the years 2000-2010.  The NETS-based data is linked to the MESA addresses at the year of the exam. For any addresses after Dec 2010, these are linked with the 2010 data for analysis purposes.  Data may be missing for addresses that could not be geocoded (ie: incomplete information or foreign addresses). </w:t>
      </w:r>
    </w:p>
    <w:p w14:paraId="457CB746" w14:textId="18DE59E6" w:rsidR="00601FAF" w:rsidRDefault="00601FAF" w:rsidP="00D87AC8">
      <w:r>
        <w:t>Densities of NETS-based data were created for buffer sizes of ½, 1, and 3 miles around each address.  Both simple densities and kernel (using the Silverman</w:t>
      </w:r>
      <w:r>
        <w:rPr>
          <w:rStyle w:val="FootnoteReference"/>
        </w:rPr>
        <w:footnoteReference w:id="4"/>
      </w:r>
      <w:r>
        <w:t xml:space="preserve"> kernel as specified in the ArcGIS kernel density function) densities were created.  These densities are straight line distances and do not take into account any barriers such as water or roads.  To date, most people have used the 1 mile kernel or simple densities.</w:t>
      </w:r>
      <w:r w:rsidR="00D87AC8">
        <w:t xml:space="preserve"> Euclidean (straight-line) distance to nearest business </w:t>
      </w:r>
      <w:r w:rsidR="00D87AC8" w:rsidRPr="00805B62">
        <w:t xml:space="preserve">were calculated for the categories of food stores, recreational facilities, social engagement destinations, and walking destinations listed </w:t>
      </w:r>
      <w:r w:rsidR="00D87AC8">
        <w:t>below</w:t>
      </w:r>
      <w:r w:rsidR="00D87AC8" w:rsidRPr="00805B62">
        <w:t xml:space="preserve"> for each year the data is available (2000-2010)</w:t>
      </w:r>
      <w:r w:rsidR="00D87AC8">
        <w:t xml:space="preserve"> using the Near tool</w:t>
      </w:r>
      <w:r w:rsidR="00D87AC8" w:rsidRPr="00126C47">
        <w:t xml:space="preserve"> in ArcGIS</w:t>
      </w:r>
      <w:r w:rsidR="00D87AC8">
        <w:t xml:space="preserve"> using a search radius of 300 miles</w:t>
      </w:r>
      <w:r w:rsidR="00D87AC8" w:rsidRPr="00126C47">
        <w:t xml:space="preserve">.  All </w:t>
      </w:r>
      <w:r w:rsidR="00D87AC8">
        <w:t>distances</w:t>
      </w:r>
      <w:r w:rsidR="00D87AC8" w:rsidRPr="00126C47">
        <w:t xml:space="preserve"> are </w:t>
      </w:r>
      <w:r w:rsidR="00D87AC8">
        <w:t>calculated in meters</w:t>
      </w:r>
      <w:r w:rsidR="00D87AC8" w:rsidRPr="00126C47">
        <w:t>.  Boundaries for water/major roads/ect were not taken into consideration when calculating the d</w:t>
      </w:r>
      <w:r w:rsidR="00D87AC8">
        <w:t>istances</w:t>
      </w:r>
      <w:r w:rsidR="00D87AC8" w:rsidRPr="00126C47">
        <w:t>.</w:t>
      </w:r>
      <w:r w:rsidR="00D87AC8">
        <w:t xml:space="preserve">  These also do not follow road networks.</w:t>
      </w:r>
    </w:p>
    <w:p w14:paraId="02AAA5C5" w14:textId="77777777" w:rsidR="00601FAF" w:rsidRDefault="00601FAF" w:rsidP="00B80C05">
      <w:pPr>
        <w:pStyle w:val="Heading2"/>
        <w:rPr>
          <w:highlight w:val="yellow"/>
        </w:rPr>
      </w:pPr>
    </w:p>
    <w:p w14:paraId="5A3A88C3" w14:textId="21ACE043" w:rsidR="00B80C05" w:rsidRPr="00FF50C8" w:rsidRDefault="00FF50C8" w:rsidP="00374973">
      <w:pPr>
        <w:pStyle w:val="Heading3"/>
      </w:pPr>
      <w:r w:rsidRPr="00FF50C8">
        <w:t>Food Stores</w:t>
      </w:r>
    </w:p>
    <w:p w14:paraId="27B160F9" w14:textId="3200C3BA" w:rsidR="00BB52CE" w:rsidRDefault="0043440F" w:rsidP="0043440F">
      <w:r>
        <w:t>The food stores data consists of various types of food stores including supermarkets, fast food, drinking places, and liquor stores.</w:t>
      </w:r>
      <w:r w:rsidR="009A27E8">
        <w:t xml:space="preserve"> Data is from the NETS database as described above.</w:t>
      </w:r>
    </w:p>
    <w:p w14:paraId="5959BDFE" w14:textId="7002EF55" w:rsidR="00002D2D" w:rsidRDefault="00002D2D" w:rsidP="00002D2D">
      <w:r w:rsidRPr="00BD11C1">
        <w:t>It is assumed that the Nielsen/Trade Dimensions (TD) data</w:t>
      </w:r>
      <w:r>
        <w:rPr>
          <w:rStyle w:val="FootnoteReference"/>
        </w:rPr>
        <w:footnoteReference w:id="5"/>
      </w:r>
      <w:r w:rsidRPr="00BD11C1">
        <w:t xml:space="preserve"> is the “gold standard” for identifying chain supermarkets.  Therefore, we sought to derive a name list for the “universe” of chain supermarkets from 2000 through 2010.  To do this, we used 3 one-year cuts of Trade Dimensions data (2000, 2005, and 2010).  The generated name list will then be applied to annual cuts of NETS data to identify large chain names in the NETS database.</w:t>
      </w:r>
      <w:r>
        <w:t xml:space="preserve"> </w:t>
      </w:r>
      <w:r w:rsidRPr="00BD11C1">
        <w:t>We define a large chain supermarket as a store having at least 8 records in Trade Dimensions.  In the 2000 TD data, the large chain supermarkets are only 8% of the companies but own 74% of the stores.  These are likely to be large supermarket chains and so constitute the majority of the records to be pulled from NETS.</w:t>
      </w:r>
    </w:p>
    <w:p w14:paraId="4EC913E1" w14:textId="1A6B1E69" w:rsidR="00002D2D" w:rsidRDefault="00002D2D" w:rsidP="00002D2D">
      <w:pPr>
        <w:rPr>
          <w:bCs/>
        </w:rPr>
      </w:pPr>
      <w:r>
        <w:t>It was</w:t>
      </w:r>
      <w:r w:rsidRPr="00261BF2">
        <w:t xml:space="preserve"> determined that there were some stores that were represented in TD at a much greater rate than in NETS (ie: they had a lot of locations missing from the NETS data).  The main reason for not being </w:t>
      </w:r>
      <w:r w:rsidRPr="00261BF2">
        <w:lastRenderedPageBreak/>
        <w:t>included in NETS is likely due to SIC categorization.  Stores such as WalMart Supercenter, which are listed as supermarkets in TD are not included in NETS since the SIC is likely to be 0</w:t>
      </w:r>
      <w:r w:rsidRPr="00261BF2">
        <w:rPr>
          <w:bCs/>
        </w:rPr>
        <w:t>531 (Department Stores), 0533 (Variety Stores), or 0539 (Miscellaneous General Merchandise Stores) thus are not part of the food store category.  We purchased the data from TD for the years 200</w:t>
      </w:r>
      <w:r>
        <w:rPr>
          <w:bCs/>
        </w:rPr>
        <w:t>0</w:t>
      </w:r>
      <w:r w:rsidRPr="00261BF2">
        <w:rPr>
          <w:bCs/>
        </w:rPr>
        <w:t>-20</w:t>
      </w:r>
      <w:r>
        <w:rPr>
          <w:bCs/>
        </w:rPr>
        <w:t>1</w:t>
      </w:r>
      <w:r w:rsidRPr="00261BF2">
        <w:rPr>
          <w:bCs/>
        </w:rPr>
        <w:t>0 for stores that had 50 or more locations in TD compared to NETS.  This lead to the purchase of 7 additional store names</w:t>
      </w:r>
      <w:r>
        <w:rPr>
          <w:bCs/>
        </w:rPr>
        <w:t xml:space="preserve"> (as identified in TD):</w:t>
      </w:r>
    </w:p>
    <w:p w14:paraId="130C762F" w14:textId="77777777" w:rsidR="00002D2D" w:rsidRPr="00363ACD" w:rsidRDefault="00002D2D" w:rsidP="00002D2D">
      <w:pPr>
        <w:pStyle w:val="NoSpacing"/>
        <w:ind w:firstLine="720"/>
      </w:pPr>
      <w:r w:rsidRPr="00363ACD">
        <w:t>1. ALDI aka "Aldi Food Store"</w:t>
      </w:r>
    </w:p>
    <w:p w14:paraId="601E9B93" w14:textId="77777777" w:rsidR="00002D2D" w:rsidRPr="00363ACD" w:rsidRDefault="00002D2D" w:rsidP="00002D2D">
      <w:pPr>
        <w:pStyle w:val="NoSpacing"/>
        <w:ind w:firstLine="720"/>
      </w:pPr>
      <w:r w:rsidRPr="00363ACD">
        <w:t>2. FRYS FOOD aka "Frys Food Store", "Frys Marketplace"</w:t>
      </w:r>
    </w:p>
    <w:p w14:paraId="11434094" w14:textId="77777777" w:rsidR="00002D2D" w:rsidRPr="00363ACD" w:rsidRDefault="00002D2D" w:rsidP="00002D2D">
      <w:pPr>
        <w:pStyle w:val="NoSpacing"/>
        <w:ind w:firstLine="720"/>
      </w:pPr>
      <w:r w:rsidRPr="00363ACD">
        <w:t>3. SAVE A LOT aka "Save A Lot", "Save A Lot Store"</w:t>
      </w:r>
    </w:p>
    <w:p w14:paraId="5C113000" w14:textId="77777777" w:rsidR="00002D2D" w:rsidRPr="00363ACD" w:rsidRDefault="00002D2D" w:rsidP="00002D2D">
      <w:pPr>
        <w:pStyle w:val="NoSpacing"/>
        <w:ind w:firstLine="720"/>
      </w:pPr>
      <w:r w:rsidRPr="00363ACD">
        <w:t>4. SMART &amp; FINAL aka "Smart &amp; Final"</w:t>
      </w:r>
    </w:p>
    <w:p w14:paraId="1A6B5FB8" w14:textId="77777777" w:rsidR="00002D2D" w:rsidRPr="00363ACD" w:rsidRDefault="00002D2D" w:rsidP="00002D2D">
      <w:pPr>
        <w:pStyle w:val="NoSpacing"/>
        <w:ind w:firstLine="720"/>
      </w:pPr>
      <w:r w:rsidRPr="00363ACD">
        <w:t>5. SUPER TARGET aka "SuperTarget Center"</w:t>
      </w:r>
    </w:p>
    <w:p w14:paraId="2443E904" w14:textId="77777777" w:rsidR="00002D2D" w:rsidRDefault="00002D2D" w:rsidP="00002D2D">
      <w:pPr>
        <w:pStyle w:val="NoSpacing"/>
        <w:ind w:firstLine="720"/>
      </w:pPr>
      <w:r>
        <w:t>6</w:t>
      </w:r>
      <w:r w:rsidRPr="00363ACD">
        <w:t>. TRADER JOES aka "Trader Joes Market"</w:t>
      </w:r>
    </w:p>
    <w:p w14:paraId="4CF7B348" w14:textId="5C4F09C1" w:rsidR="00002D2D" w:rsidRDefault="00002D2D" w:rsidP="00002D2D">
      <w:pPr>
        <w:ind w:firstLine="720"/>
      </w:pPr>
      <w:r>
        <w:t>7</w:t>
      </w:r>
      <w:r w:rsidRPr="00363ACD">
        <w:t>. WALMART SUPERCENTER aka "Wal Mart Neighborhood Mkt", "Wal Mart Supercenter"</w:t>
      </w:r>
    </w:p>
    <w:p w14:paraId="1A7A6E0D" w14:textId="65DC9C45" w:rsidR="00002D2D" w:rsidRDefault="00002D2D" w:rsidP="00DD7878">
      <w:r>
        <w:t>These locations were then combined with the NETS dataset and assigned as supermarket chains for creation of the densities.</w:t>
      </w:r>
    </w:p>
    <w:p w14:paraId="2D907B77" w14:textId="77777777" w:rsidR="008F7F55" w:rsidRDefault="008F7F55" w:rsidP="008F7F55">
      <w:pPr>
        <w:autoSpaceDE w:val="0"/>
        <w:autoSpaceDN w:val="0"/>
        <w:adjustRightInd w:val="0"/>
        <w:spacing w:after="0" w:line="240" w:lineRule="auto"/>
      </w:pPr>
      <w:r>
        <w:t>Fast food is defined as l</w:t>
      </w:r>
      <w:r w:rsidRPr="002F2F02">
        <w:t>arge chain eating places that specialize in low preparation time foods that are eaten cafeteria-style (no waiter service) or take-away.</w:t>
      </w:r>
      <w:r>
        <w:t xml:space="preserve">  The list was derived from the </w:t>
      </w:r>
      <w:r w:rsidRPr="00777232">
        <w:t xml:space="preserve">top </w:t>
      </w:r>
      <w:r>
        <w:t>7</w:t>
      </w:r>
      <w:r w:rsidRPr="00777232">
        <w:t xml:space="preserve">5 </w:t>
      </w:r>
      <w:r w:rsidRPr="00515C81">
        <w:rPr>
          <w:i/>
        </w:rPr>
        <w:t>Restaurant and Institutions</w:t>
      </w:r>
      <w:r>
        <w:t xml:space="preserve"> revenue-r</w:t>
      </w:r>
      <w:r w:rsidRPr="00777232">
        <w:t>ank</w:t>
      </w:r>
      <w:r>
        <w:t xml:space="preserve">ed </w:t>
      </w:r>
      <w:r w:rsidRPr="002F2F02">
        <w:t xml:space="preserve">for </w:t>
      </w:r>
      <w:r>
        <w:t xml:space="preserve">the </w:t>
      </w:r>
      <w:r w:rsidRPr="002F2F02">
        <w:t>year 200</w:t>
      </w:r>
      <w:r>
        <w:t>5</w:t>
      </w:r>
      <w:r>
        <w:rPr>
          <w:rStyle w:val="FootnoteReference"/>
        </w:rPr>
        <w:footnoteReference w:id="6"/>
      </w:r>
      <w:r>
        <w:t>.  R&amp;I top 400 includes many kinds of restaurants including casual dining, buffet, and coffee shops.  We excluded all except fast-food (defined above) and e</w:t>
      </w:r>
      <w:r w:rsidRPr="002F2F02">
        <w:t>xcluded coffee, donut, and ice cream shops because those shops generally sell snacks and thus are not often thought of fast-food by consumers</w:t>
      </w:r>
      <w:r>
        <w:t xml:space="preserve">. </w:t>
      </w:r>
      <w:r w:rsidRPr="002F2F02">
        <w:t xml:space="preserve">MESA respondents who report on fast-food eating behaviors and presence of fast food in their neighborhood are not likely to count the coffee, donut, and ice cream restaurants. </w:t>
      </w:r>
    </w:p>
    <w:p w14:paraId="397469F4" w14:textId="77777777" w:rsidR="008F7F55" w:rsidRDefault="008F7F55" w:rsidP="008F7F55">
      <w:pPr>
        <w:autoSpaceDE w:val="0"/>
        <w:autoSpaceDN w:val="0"/>
        <w:adjustRightInd w:val="0"/>
        <w:spacing w:after="0" w:line="240" w:lineRule="auto"/>
      </w:pPr>
    </w:p>
    <w:p w14:paraId="1137C03B" w14:textId="1ADD5E39" w:rsidR="00DD7878" w:rsidRDefault="00DD7878" w:rsidP="008F7F55">
      <w:pPr>
        <w:autoSpaceDE w:val="0"/>
        <w:autoSpaceDN w:val="0"/>
        <w:adjustRightInd w:val="0"/>
        <w:spacing w:after="0" w:line="240" w:lineRule="auto"/>
      </w:pPr>
      <w:r>
        <w:t xml:space="preserve">The food stores are categorized into 15 categories as follows (note that not all separate categories are included in the dataset – only those that </w:t>
      </w:r>
      <w:r w:rsidR="00501D17">
        <w:t xml:space="preserve">are commonly used are included). </w:t>
      </w:r>
      <w:r w:rsidR="00501D17" w:rsidRPr="003B193D">
        <w:t>.</w:t>
      </w:r>
      <w:r w:rsidR="00501D17">
        <w:t xml:space="preserve">  </w:t>
      </w:r>
      <w:r w:rsidR="00501D17" w:rsidRPr="003B193D">
        <w:t xml:space="preserve">Those establishments that are listed as headquarters in the NETS data were </w:t>
      </w:r>
      <w:r w:rsidR="00501D17">
        <w:t>excluded from the coding since it was determined that many of these will not provide access for the general public.</w:t>
      </w:r>
    </w:p>
    <w:p w14:paraId="22D659AC" w14:textId="77777777" w:rsidR="00DD7878" w:rsidRPr="00396C62" w:rsidRDefault="00DD7878" w:rsidP="00DD7878">
      <w:pPr>
        <w:pStyle w:val="ListParagraph"/>
        <w:numPr>
          <w:ilvl w:val="0"/>
          <w:numId w:val="8"/>
        </w:numPr>
        <w:spacing w:after="120"/>
      </w:pPr>
      <w:bookmarkStart w:id="5" w:name="_Toc342281106"/>
      <w:bookmarkStart w:id="6" w:name="_Toc342282490"/>
      <w:r w:rsidRPr="00396C62">
        <w:rPr>
          <w:b/>
        </w:rPr>
        <w:t>Grocers</w:t>
      </w:r>
      <w:bookmarkEnd w:id="5"/>
      <w:bookmarkEnd w:id="6"/>
    </w:p>
    <w:p w14:paraId="143AE4D8" w14:textId="77777777" w:rsidR="00DD7878" w:rsidRDefault="00DD7878" w:rsidP="00DD7878">
      <w:pPr>
        <w:pStyle w:val="ListParagraph"/>
        <w:numPr>
          <w:ilvl w:val="1"/>
          <w:numId w:val="8"/>
        </w:numPr>
        <w:spacing w:after="120"/>
      </w:pPr>
      <w:r w:rsidRPr="00396C62">
        <w:rPr>
          <w:i/>
        </w:rPr>
        <w:t xml:space="preserve">Technical definition: </w:t>
      </w:r>
      <w:r w:rsidRPr="003B193D">
        <w:t xml:space="preserve">Any food store with fewer than 25 employees, sales less than $2million, </w:t>
      </w:r>
      <w:r w:rsidRPr="00396C62">
        <w:rPr>
          <w:u w:val="single"/>
        </w:rPr>
        <w:t>and</w:t>
      </w:r>
      <w:r w:rsidRPr="003B193D">
        <w:t xml:space="preserve"> not on the supermarket name list, </w:t>
      </w:r>
      <w:r w:rsidRPr="00396C62">
        <w:rPr>
          <w:u w:val="single"/>
        </w:rPr>
        <w:t>and</w:t>
      </w:r>
      <w:r w:rsidRPr="003B193D">
        <w:t xml:space="preserve"> a primary SIC code of 54110000, 54110100, 54110101, 54110102, 54110103, 54110104, 54110105, 54119900, 54119901, 54119904, or 54119905.</w:t>
      </w:r>
    </w:p>
    <w:p w14:paraId="3269DF47" w14:textId="77777777" w:rsidR="00DD7878" w:rsidRDefault="00DD7878" w:rsidP="00DD7878">
      <w:pPr>
        <w:pStyle w:val="ListParagraph"/>
        <w:numPr>
          <w:ilvl w:val="1"/>
          <w:numId w:val="8"/>
        </w:numPr>
        <w:spacing w:after="120"/>
      </w:pPr>
      <w:r w:rsidRPr="00396C62">
        <w:rPr>
          <w:i/>
        </w:rPr>
        <w:t xml:space="preserve">General description: </w:t>
      </w:r>
      <w:r w:rsidRPr="003B193D">
        <w:t>This category was derived from whatever stores remained after removing supermarkets and convenience stores.  Thus, it includes all smaller, non-supermarket, non-convenience stores.</w:t>
      </w:r>
    </w:p>
    <w:p w14:paraId="22A77219"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xml:space="preserve"> Unknown.  This is a heterogeneous category including stores that sell fresh food and stores that almost exclusively sell food with a long shelf life.</w:t>
      </w:r>
      <w:bookmarkStart w:id="7" w:name="_Toc342281107"/>
      <w:bookmarkStart w:id="8" w:name="_Toc342282491"/>
    </w:p>
    <w:p w14:paraId="0CD0F19E" w14:textId="77777777" w:rsidR="00DD7878" w:rsidRPr="00396C62" w:rsidRDefault="00DD7878" w:rsidP="00DD7878">
      <w:pPr>
        <w:pStyle w:val="ListParagraph"/>
        <w:numPr>
          <w:ilvl w:val="0"/>
          <w:numId w:val="8"/>
        </w:numPr>
        <w:spacing w:after="120"/>
      </w:pPr>
      <w:r w:rsidRPr="00396C62">
        <w:rPr>
          <w:b/>
        </w:rPr>
        <w:t>Supermarket Chains</w:t>
      </w:r>
      <w:bookmarkEnd w:id="7"/>
      <w:bookmarkEnd w:id="8"/>
    </w:p>
    <w:p w14:paraId="46D1E748" w14:textId="0E507A80" w:rsidR="00DD7878" w:rsidRDefault="00DD7878" w:rsidP="00DD7878">
      <w:pPr>
        <w:pStyle w:val="ListParagraph"/>
        <w:numPr>
          <w:ilvl w:val="1"/>
          <w:numId w:val="8"/>
        </w:numPr>
        <w:spacing w:after="120"/>
      </w:pPr>
      <w:r w:rsidRPr="00396C62">
        <w:rPr>
          <w:i/>
        </w:rPr>
        <w:lastRenderedPageBreak/>
        <w:t xml:space="preserve">Technical definition: </w:t>
      </w:r>
      <w:r w:rsidRPr="003B193D">
        <w:t xml:space="preserve">Industry defines a “chain” supermarket operators as having &gt;=10 locations. For this study, we defined it as companies that operate 8 or more stores in the study area.  This cut point is slightly lower than the industry definition reflecting that there will be fewer stores in MESA ZIP codes.  </w:t>
      </w:r>
      <w:r>
        <w:t>W</w:t>
      </w:r>
      <w:r w:rsidRPr="003B193D">
        <w:t>e use the standardized supermarket name list from T</w:t>
      </w:r>
      <w:r>
        <w:t xml:space="preserve">rade </w:t>
      </w:r>
      <w:r w:rsidRPr="003B193D">
        <w:t>D</w:t>
      </w:r>
      <w:r>
        <w:t>imensions</w:t>
      </w:r>
      <w:r w:rsidRPr="003B193D">
        <w:t xml:space="preserve"> to determine “chain” companies (that had 8 or more locations within the 2000</w:t>
      </w:r>
      <w:r>
        <w:t>,</w:t>
      </w:r>
      <w:r w:rsidRPr="003B193D">
        <w:t xml:space="preserve"> 2005</w:t>
      </w:r>
      <w:r>
        <w:t>, or 2010</w:t>
      </w:r>
      <w:r w:rsidRPr="003B193D">
        <w:t xml:space="preserve"> data).</w:t>
      </w:r>
    </w:p>
    <w:p w14:paraId="7DA2876D" w14:textId="77777777" w:rsidR="00DD7878" w:rsidRDefault="00DD7878" w:rsidP="00DD7878">
      <w:pPr>
        <w:pStyle w:val="ListParagraph"/>
        <w:numPr>
          <w:ilvl w:val="1"/>
          <w:numId w:val="8"/>
        </w:numPr>
        <w:spacing w:after="120"/>
      </w:pPr>
      <w:r w:rsidRPr="00396C62">
        <w:rPr>
          <w:i/>
        </w:rPr>
        <w:t xml:space="preserve">General description: </w:t>
      </w:r>
      <w:r w:rsidRPr="003B193D">
        <w:t xml:space="preserve">For this study, the store is a chain if it has the company and/or trade name of any of the </w:t>
      </w:r>
      <w:r>
        <w:t>263</w:t>
      </w:r>
      <w:r w:rsidRPr="003B193D">
        <w:t xml:space="preserve"> stores.</w:t>
      </w:r>
    </w:p>
    <w:p w14:paraId="5F324B5E"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xml:space="preserve"> Favorable.  A wide variety of fruits, vegetables and low-fat foods are assumed to be available, though unhealthy food options are also available. Food sold in large markets is typically cheaper than food sold in small grocers.  If healthier food is more expensive than unhealthy food, then supermarkets may encourage healthier food purchases.</w:t>
      </w:r>
      <w:bookmarkStart w:id="9" w:name="_Toc342281108"/>
      <w:bookmarkStart w:id="10" w:name="_Toc342282492"/>
    </w:p>
    <w:p w14:paraId="27824F35" w14:textId="77777777" w:rsidR="00DD7878" w:rsidRPr="00396C62" w:rsidRDefault="00DD7878" w:rsidP="00DD7878">
      <w:pPr>
        <w:pStyle w:val="ListParagraph"/>
        <w:numPr>
          <w:ilvl w:val="0"/>
          <w:numId w:val="8"/>
        </w:numPr>
        <w:spacing w:after="120"/>
      </w:pPr>
      <w:r w:rsidRPr="00396C62">
        <w:rPr>
          <w:b/>
        </w:rPr>
        <w:t>Supermarket Non-Chain</w:t>
      </w:r>
      <w:bookmarkEnd w:id="9"/>
      <w:bookmarkEnd w:id="10"/>
    </w:p>
    <w:p w14:paraId="4D2579F9" w14:textId="77777777" w:rsidR="00DD7878" w:rsidRDefault="00DD7878" w:rsidP="00DD7878">
      <w:pPr>
        <w:pStyle w:val="ListParagraph"/>
        <w:numPr>
          <w:ilvl w:val="1"/>
          <w:numId w:val="8"/>
        </w:numPr>
        <w:spacing w:after="120"/>
      </w:pPr>
      <w:r w:rsidRPr="00396C62">
        <w:rPr>
          <w:i/>
        </w:rPr>
        <w:t xml:space="preserve">Technical definition: </w:t>
      </w:r>
      <w:r w:rsidRPr="003B193D">
        <w:t xml:space="preserve">Any food store with 25 employees or greater or sales of $2 million or greater, </w:t>
      </w:r>
      <w:r w:rsidRPr="00396C62">
        <w:rPr>
          <w:u w:val="single"/>
        </w:rPr>
        <w:t>and</w:t>
      </w:r>
      <w:r w:rsidRPr="003B193D">
        <w:t xml:space="preserve"> a primary SIC code of 54110000, 54110100, 54110101, 54110102, 54110103, 54110104, 54110105, 54119900, 54119901, 54119904, or 54119905 and not part of Supermarket Chains above.</w:t>
      </w:r>
    </w:p>
    <w:p w14:paraId="31C51781" w14:textId="77777777" w:rsidR="00DD7878" w:rsidRDefault="00DD7878" w:rsidP="00DD7878">
      <w:pPr>
        <w:pStyle w:val="ListParagraph"/>
        <w:numPr>
          <w:ilvl w:val="1"/>
          <w:numId w:val="8"/>
        </w:numPr>
        <w:spacing w:after="120"/>
      </w:pPr>
      <w:r w:rsidRPr="00396C62">
        <w:rPr>
          <w:i/>
        </w:rPr>
        <w:t xml:space="preserve">General description: </w:t>
      </w:r>
      <w:r w:rsidRPr="003B193D">
        <w:t>The categories of grocers (described above) and supermarkets derive from the constellation of SIC Codes that generally apply to all types of grocery stores and supermarkets.</w:t>
      </w:r>
    </w:p>
    <w:p w14:paraId="712385BA" w14:textId="77777777" w:rsidR="00DD7878" w:rsidRPr="00396C62" w:rsidRDefault="00DD7878" w:rsidP="00DD7878">
      <w:pPr>
        <w:pStyle w:val="ListParagraph"/>
        <w:numPr>
          <w:ilvl w:val="1"/>
          <w:numId w:val="8"/>
        </w:numPr>
        <w:spacing w:after="120"/>
        <w:rPr>
          <w:b/>
        </w:rPr>
      </w:pPr>
      <w:r w:rsidRPr="00396C62">
        <w:rPr>
          <w:i/>
        </w:rPr>
        <w:t>Assumed health association:</w:t>
      </w:r>
      <w:r w:rsidRPr="00396C62">
        <w:t xml:space="preserve"> Favorable.  A wide variety of fruits, vegetables and low-fat</w:t>
      </w:r>
      <w:r w:rsidRPr="003B193D">
        <w:t xml:space="preserve"> foods are assumed to be available, though unhealthy food options are also available.  Food sold in large markets is typically cheaper than food sold in small grocers.  If healthier food is more expensive than unhealthy food, then supermarkets may encourage healthier food purchases.</w:t>
      </w:r>
      <w:bookmarkStart w:id="11" w:name="_Toc342281109"/>
      <w:bookmarkStart w:id="12" w:name="_Toc342282493"/>
    </w:p>
    <w:p w14:paraId="7ACE36EA" w14:textId="77777777" w:rsidR="00DD7878" w:rsidRPr="00396C62" w:rsidRDefault="00DD7878" w:rsidP="00DD7878">
      <w:pPr>
        <w:pStyle w:val="ListParagraph"/>
        <w:numPr>
          <w:ilvl w:val="0"/>
          <w:numId w:val="8"/>
        </w:numPr>
        <w:spacing w:after="120"/>
      </w:pPr>
      <w:r w:rsidRPr="00396C62">
        <w:rPr>
          <w:b/>
        </w:rPr>
        <w:t>Convenience</w:t>
      </w:r>
      <w:bookmarkEnd w:id="11"/>
      <w:bookmarkEnd w:id="12"/>
    </w:p>
    <w:p w14:paraId="541DA312"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with a primary SIC code of 54110200, 54110201, or 54110202.</w:t>
      </w:r>
    </w:p>
    <w:p w14:paraId="1005D151" w14:textId="77777777" w:rsidR="00DD7878" w:rsidRDefault="00DD7878" w:rsidP="00DD7878">
      <w:pPr>
        <w:pStyle w:val="ListParagraph"/>
        <w:numPr>
          <w:ilvl w:val="1"/>
          <w:numId w:val="8"/>
        </w:numPr>
        <w:spacing w:after="120"/>
      </w:pPr>
      <w:r w:rsidRPr="00396C62">
        <w:rPr>
          <w:i/>
        </w:rPr>
        <w:t xml:space="preserve">General description: </w:t>
      </w:r>
      <w:r w:rsidRPr="003B193D">
        <w:t>National Association of Convenience Stores, an international trade association and publisher of the industry trade publication Convenience Store News, defines the channel as small stores between 800 and 3,000 square feet, carrying between 500 and 1,500 SKUs, and meet the following criteria: operating at least 13 hours per day,  the store must carry a limited selection of grocery items including at least two of the following: toilet paper, soap, disposable diapers, pet foods, breakfast cereal, tuna fish, toothpaste, ketchup, and canned goods. These stores may or may not sell gasoline and offer fast food services</w:t>
      </w:r>
      <w:r>
        <w:t>.</w:t>
      </w:r>
    </w:p>
    <w:p w14:paraId="4A3BD9DB" w14:textId="77777777" w:rsidR="00DD7878" w:rsidRDefault="00DD7878" w:rsidP="00DD7878">
      <w:pPr>
        <w:pStyle w:val="ListParagraph"/>
        <w:numPr>
          <w:ilvl w:val="1"/>
          <w:numId w:val="8"/>
        </w:numPr>
        <w:spacing w:after="120"/>
      </w:pPr>
      <w:r w:rsidRPr="00396C62">
        <w:rPr>
          <w:i/>
        </w:rPr>
        <w:t>Assumed health association</w:t>
      </w:r>
      <w:r w:rsidRPr="003B193D">
        <w:t>: Unfavorable. Assumed to sell mostly highly processed snack food, fast food to go (microwave burgers, etc.) and low quantity (if any) fresh produce.</w:t>
      </w:r>
    </w:p>
    <w:p w14:paraId="752180B2" w14:textId="77777777" w:rsidR="00DD7878" w:rsidRPr="00396C62" w:rsidRDefault="00DD7878" w:rsidP="00DD7878">
      <w:pPr>
        <w:pStyle w:val="ListParagraph"/>
        <w:numPr>
          <w:ilvl w:val="0"/>
          <w:numId w:val="8"/>
        </w:numPr>
        <w:spacing w:after="120"/>
      </w:pPr>
      <w:bookmarkStart w:id="13" w:name="_Toc342281110"/>
      <w:bookmarkStart w:id="14" w:name="_Toc342282494"/>
      <w:r w:rsidRPr="00396C62">
        <w:rPr>
          <w:b/>
        </w:rPr>
        <w:t>Deli, meat, fish, dairy (not ice cream)</w:t>
      </w:r>
      <w:bookmarkEnd w:id="13"/>
      <w:bookmarkEnd w:id="14"/>
    </w:p>
    <w:p w14:paraId="21531A36" w14:textId="77777777" w:rsidR="00DD7878" w:rsidRDefault="00DD7878" w:rsidP="00DD7878">
      <w:pPr>
        <w:pStyle w:val="ListParagraph"/>
        <w:numPr>
          <w:ilvl w:val="1"/>
          <w:numId w:val="8"/>
        </w:numPr>
        <w:spacing w:after="120"/>
      </w:pPr>
      <w:r w:rsidRPr="00396C62">
        <w:rPr>
          <w:i/>
        </w:rPr>
        <w:lastRenderedPageBreak/>
        <w:t xml:space="preserve">Technical definition: </w:t>
      </w:r>
      <w:r w:rsidRPr="003B193D">
        <w:t>Any food store with a primary SIC code of 54119902, 54210000, 54210100, 54210101, 54210102, 54210200, 54210201, 54210202, 54999902, 54999904, 54510000, 54519900, 54519901, 54519902, or 54519904.</w:t>
      </w:r>
    </w:p>
    <w:p w14:paraId="0C215287" w14:textId="77777777" w:rsidR="00DD7878" w:rsidRDefault="00DD7878" w:rsidP="00DD7878">
      <w:pPr>
        <w:pStyle w:val="ListParagraph"/>
        <w:numPr>
          <w:ilvl w:val="1"/>
          <w:numId w:val="8"/>
        </w:numPr>
        <w:spacing w:after="120"/>
      </w:pPr>
      <w:r w:rsidRPr="00396C62">
        <w:rPr>
          <w:i/>
        </w:rPr>
        <w:t>General description</w:t>
      </w:r>
      <w:r>
        <w:t>: Stand-</w:t>
      </w:r>
      <w:r w:rsidRPr="003B193D">
        <w:t>alone stores that sell primarily meat, fish, egg products, milk, cheese, and/or other dairy products (except ice cream) including delicatessens and gourmet shops.</w:t>
      </w:r>
    </w:p>
    <w:p w14:paraId="7567AE67" w14:textId="77777777" w:rsidR="00DD7878" w:rsidRDefault="00DD7878" w:rsidP="00DD7878">
      <w:pPr>
        <w:pStyle w:val="ListParagraph"/>
        <w:numPr>
          <w:ilvl w:val="1"/>
          <w:numId w:val="8"/>
        </w:numPr>
        <w:spacing w:after="120"/>
      </w:pPr>
      <w:r w:rsidRPr="00396C62">
        <w:rPr>
          <w:i/>
        </w:rPr>
        <w:t xml:space="preserve">Assumed health association: </w:t>
      </w:r>
      <w:r w:rsidRPr="003B193D">
        <w:t>Unknown.  These places tend to offer foods that are high in fat and cholesterol but they also stock foods that may not be highly processed and are a part of a healthy Mediterranean diet.</w:t>
      </w:r>
    </w:p>
    <w:p w14:paraId="259A8973" w14:textId="77777777" w:rsidR="00DD7878" w:rsidRPr="00396C62" w:rsidRDefault="00DD7878" w:rsidP="00DD7878">
      <w:pPr>
        <w:pStyle w:val="ListParagraph"/>
        <w:numPr>
          <w:ilvl w:val="0"/>
          <w:numId w:val="8"/>
        </w:numPr>
        <w:spacing w:after="120"/>
      </w:pPr>
      <w:bookmarkStart w:id="15" w:name="_Toc342281111"/>
      <w:bookmarkStart w:id="16" w:name="_Toc342282495"/>
      <w:r w:rsidRPr="00396C62">
        <w:rPr>
          <w:b/>
        </w:rPr>
        <w:t>Fruit, vegetable</w:t>
      </w:r>
      <w:bookmarkEnd w:id="15"/>
      <w:bookmarkEnd w:id="16"/>
    </w:p>
    <w:p w14:paraId="3497C723"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with a primary SIC code of 54319900, 54310000, 54319901, or 54319902.</w:t>
      </w:r>
    </w:p>
    <w:p w14:paraId="3DBF52B2" w14:textId="77777777" w:rsidR="00DD7878" w:rsidRDefault="00DD7878" w:rsidP="00DD7878">
      <w:pPr>
        <w:pStyle w:val="ListParagraph"/>
        <w:numPr>
          <w:ilvl w:val="1"/>
          <w:numId w:val="8"/>
        </w:numPr>
        <w:spacing w:after="120"/>
      </w:pPr>
      <w:r w:rsidRPr="00396C62">
        <w:rPr>
          <w:i/>
        </w:rPr>
        <w:t>General description:</w:t>
      </w:r>
      <w:r>
        <w:t xml:space="preserve"> Stand-</w:t>
      </w:r>
      <w:r w:rsidRPr="003B193D">
        <w:t>alone stores that sell primarily fruits and vegetables.  This category may be too small to analyze on its own and could be combined with several different categories, depending on the research question.</w:t>
      </w:r>
    </w:p>
    <w:p w14:paraId="6FD44D5A"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Favorable.</w:t>
      </w:r>
      <w:bookmarkStart w:id="17" w:name="_Toc342281112"/>
      <w:bookmarkStart w:id="18" w:name="_Toc342282496"/>
    </w:p>
    <w:p w14:paraId="3EA87BF8" w14:textId="77777777" w:rsidR="00DD7878" w:rsidRPr="00396C62" w:rsidRDefault="00DD7878" w:rsidP="00DD7878">
      <w:pPr>
        <w:pStyle w:val="ListParagraph"/>
        <w:numPr>
          <w:ilvl w:val="0"/>
          <w:numId w:val="8"/>
        </w:numPr>
        <w:spacing w:after="120"/>
      </w:pPr>
      <w:r w:rsidRPr="00396C62">
        <w:rPr>
          <w:b/>
        </w:rPr>
        <w:t>Bakeries, pastry, candy, nuts, ice cream</w:t>
      </w:r>
      <w:bookmarkEnd w:id="17"/>
      <w:bookmarkEnd w:id="18"/>
    </w:p>
    <w:p w14:paraId="60A89FC0"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that is NOT a fast food restaurant (see categories 11 and 12) with a primary SIC code of 54610000, 54619900, 54619901, 54619902, 54410000, 54419900, 54419901, 54419902, 54419903, 54419904, 54419905, 54519903, 54619903, 54619904, 54619905, 54619906, 54619907, 54619908, 54999901, 58120202, 58120203, 58120204, or 58120200.</w:t>
      </w:r>
    </w:p>
    <w:p w14:paraId="40056D9B" w14:textId="77777777" w:rsidR="00DD7878" w:rsidRDefault="00DD7878" w:rsidP="00DD7878">
      <w:pPr>
        <w:pStyle w:val="ListParagraph"/>
        <w:numPr>
          <w:ilvl w:val="1"/>
          <w:numId w:val="8"/>
        </w:numPr>
        <w:spacing w:after="120"/>
      </w:pPr>
      <w:r w:rsidRPr="00396C62">
        <w:rPr>
          <w:i/>
        </w:rPr>
        <w:t xml:space="preserve">General description: </w:t>
      </w:r>
      <w:r w:rsidRPr="003B193D">
        <w:t>Bakeries, candy and nut shops, and ice cream parlors.</w:t>
      </w:r>
    </w:p>
    <w:p w14:paraId="2B4A9985" w14:textId="77777777" w:rsidR="00DD7878" w:rsidRPr="00396C62" w:rsidRDefault="00DD7878" w:rsidP="00DD7878">
      <w:pPr>
        <w:pStyle w:val="ListParagraph"/>
        <w:numPr>
          <w:ilvl w:val="1"/>
          <w:numId w:val="8"/>
        </w:numPr>
        <w:spacing w:after="120"/>
        <w:rPr>
          <w:b/>
        </w:rPr>
      </w:pPr>
      <w:r w:rsidRPr="00396C62">
        <w:rPr>
          <w:i/>
        </w:rPr>
        <w:t xml:space="preserve">Assumed health association: </w:t>
      </w:r>
      <w:r w:rsidRPr="003B193D">
        <w:t>Unfavorable.  Though some of the bakeries may provide fresh breads and some of the nut stores may have plain/unprocessed nuts, it is impossible to differentiate these stores from providers of cupcakes, cookies, pastries, and candied nuts.  It is assumed that the majority of these stores sell high calorie and high sugar foods.</w:t>
      </w:r>
      <w:bookmarkStart w:id="19" w:name="_Toc342281113"/>
      <w:bookmarkStart w:id="20" w:name="_Toc342282497"/>
    </w:p>
    <w:p w14:paraId="67F03E5C" w14:textId="77777777" w:rsidR="00DD7878" w:rsidRPr="00396C62" w:rsidRDefault="00DD7878" w:rsidP="00DD7878">
      <w:pPr>
        <w:pStyle w:val="ListParagraph"/>
        <w:numPr>
          <w:ilvl w:val="0"/>
          <w:numId w:val="8"/>
        </w:numPr>
        <w:spacing w:after="120"/>
      </w:pPr>
      <w:r w:rsidRPr="00396C62">
        <w:rPr>
          <w:b/>
        </w:rPr>
        <w:t>Health food, vitamins, and supplements</w:t>
      </w:r>
      <w:bookmarkEnd w:id="19"/>
      <w:bookmarkEnd w:id="20"/>
    </w:p>
    <w:p w14:paraId="06952E5C" w14:textId="77777777" w:rsidR="00DD7878" w:rsidRDefault="00DD7878" w:rsidP="00DD7878">
      <w:pPr>
        <w:pStyle w:val="ListParagraph"/>
        <w:numPr>
          <w:ilvl w:val="1"/>
          <w:numId w:val="8"/>
        </w:numPr>
        <w:spacing w:after="120"/>
      </w:pPr>
      <w:r w:rsidRPr="00396C62">
        <w:rPr>
          <w:i/>
        </w:rPr>
        <w:t>Technical definition</w:t>
      </w:r>
      <w:r w:rsidRPr="003B193D">
        <w:t>: Any food store with a primary SIC code of 54990100, 54990102, 54990103, or 54990101.</w:t>
      </w:r>
    </w:p>
    <w:p w14:paraId="24203838" w14:textId="77777777" w:rsidR="00DD7878" w:rsidRDefault="00DD7878" w:rsidP="00DD7878">
      <w:pPr>
        <w:pStyle w:val="ListParagraph"/>
        <w:numPr>
          <w:ilvl w:val="1"/>
          <w:numId w:val="8"/>
        </w:numPr>
        <w:spacing w:after="120"/>
      </w:pPr>
      <w:r w:rsidRPr="00396C62">
        <w:rPr>
          <w:i/>
        </w:rPr>
        <w:t xml:space="preserve">General description: </w:t>
      </w:r>
      <w:r w:rsidRPr="003B193D">
        <w:t>Small stores that specialize in natural foods, vitamins and nutritional supplements.  These SIC categories were kept together because stores listed under these codes are indistinguishable from each other (health food stores classify themselves as vitamin stores so are not able to be separated). This category may be too small to analyze on its own.</w:t>
      </w:r>
    </w:p>
    <w:p w14:paraId="03198A0C"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Unknown.  Health food stores are generally considered to be healthy. However, stores that exclusively sell vitamins and supplements are not comparable to food stores, rarely sell fresh produce, and may sell supplements that can be harmful to health (e.g., athletic supplements)</w:t>
      </w:r>
      <w:r>
        <w:t>.</w:t>
      </w:r>
      <w:bookmarkStart w:id="21" w:name="_Toc342281114"/>
      <w:bookmarkStart w:id="22" w:name="_Toc342282498"/>
    </w:p>
    <w:p w14:paraId="05D1AFB3" w14:textId="77777777" w:rsidR="00DD7878" w:rsidRPr="00396C62" w:rsidRDefault="00DD7878" w:rsidP="00DD7878">
      <w:pPr>
        <w:pStyle w:val="ListParagraph"/>
        <w:numPr>
          <w:ilvl w:val="0"/>
          <w:numId w:val="8"/>
        </w:numPr>
        <w:spacing w:after="120"/>
      </w:pPr>
      <w:r w:rsidRPr="00396C62">
        <w:rPr>
          <w:b/>
        </w:rPr>
        <w:t>Liquor</w:t>
      </w:r>
      <w:bookmarkEnd w:id="21"/>
      <w:bookmarkEnd w:id="22"/>
    </w:p>
    <w:p w14:paraId="584E287D" w14:textId="77777777" w:rsidR="00DD7878" w:rsidRDefault="00DD7878" w:rsidP="00DD7878">
      <w:pPr>
        <w:pStyle w:val="ListParagraph"/>
        <w:numPr>
          <w:ilvl w:val="1"/>
          <w:numId w:val="8"/>
        </w:numPr>
        <w:spacing w:after="120"/>
      </w:pPr>
      <w:r w:rsidRPr="00396C62">
        <w:rPr>
          <w:i/>
        </w:rPr>
        <w:lastRenderedPageBreak/>
        <w:t>Technical definition:</w:t>
      </w:r>
      <w:r w:rsidRPr="003B193D">
        <w:t xml:space="preserve"> Any food store with a primary SIC code of 59210000, 59210100, 59210101, 59210102, 59219900, or 59219901.</w:t>
      </w:r>
    </w:p>
    <w:p w14:paraId="497438AB" w14:textId="77777777" w:rsidR="00DD7878" w:rsidRDefault="00DD7878" w:rsidP="00DD7878">
      <w:pPr>
        <w:pStyle w:val="ListParagraph"/>
        <w:numPr>
          <w:ilvl w:val="1"/>
          <w:numId w:val="8"/>
        </w:numPr>
        <w:spacing w:after="120"/>
      </w:pPr>
      <w:r w:rsidRPr="00396C62">
        <w:rPr>
          <w:i/>
        </w:rPr>
        <w:t>General description</w:t>
      </w:r>
      <w:r w:rsidRPr="003B193D">
        <w:t>: Stores that primarily sell alcohol for consumption elsewhere.</w:t>
      </w:r>
    </w:p>
    <w:p w14:paraId="0AAED496" w14:textId="77777777" w:rsidR="00DD7878" w:rsidRPr="00396C62" w:rsidRDefault="00DD7878" w:rsidP="00DD7878">
      <w:pPr>
        <w:pStyle w:val="ListParagraph"/>
        <w:numPr>
          <w:ilvl w:val="1"/>
          <w:numId w:val="8"/>
        </w:numPr>
        <w:spacing w:after="120"/>
        <w:rPr>
          <w:b/>
        </w:rPr>
      </w:pPr>
      <w:r w:rsidRPr="00396C62">
        <w:rPr>
          <w:i/>
        </w:rPr>
        <w:t xml:space="preserve">Assumed health association: </w:t>
      </w:r>
      <w:r w:rsidRPr="003B193D">
        <w:t>Unfavorable</w:t>
      </w:r>
      <w:bookmarkStart w:id="23" w:name="_Toc342281115"/>
      <w:bookmarkStart w:id="24" w:name="_Toc342282499"/>
    </w:p>
    <w:p w14:paraId="701E3783" w14:textId="77777777" w:rsidR="00DD7878" w:rsidRPr="00396C62" w:rsidRDefault="00DD7878" w:rsidP="00DD7878">
      <w:pPr>
        <w:pStyle w:val="ListParagraph"/>
        <w:numPr>
          <w:ilvl w:val="0"/>
          <w:numId w:val="8"/>
        </w:numPr>
        <w:spacing w:after="120"/>
      </w:pPr>
      <w:r w:rsidRPr="00396C62">
        <w:rPr>
          <w:b/>
        </w:rPr>
        <w:t>Drinking places (non-alcohol)</w:t>
      </w:r>
      <w:bookmarkEnd w:id="23"/>
      <w:bookmarkEnd w:id="24"/>
    </w:p>
    <w:p w14:paraId="52447F32"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with a primary SIC code of 54990200, 54990201, 54990202, 54990203, 54990204, 54990205, 58120205, 58120206, or 58120304.</w:t>
      </w:r>
    </w:p>
    <w:p w14:paraId="28D07C81" w14:textId="77777777" w:rsidR="00DD7878" w:rsidRDefault="00DD7878" w:rsidP="00DD7878">
      <w:pPr>
        <w:pStyle w:val="ListParagraph"/>
        <w:numPr>
          <w:ilvl w:val="1"/>
          <w:numId w:val="8"/>
        </w:numPr>
        <w:spacing w:after="120"/>
      </w:pPr>
      <w:r w:rsidRPr="00396C62">
        <w:rPr>
          <w:i/>
        </w:rPr>
        <w:t xml:space="preserve">General description: </w:t>
      </w:r>
      <w:r w:rsidRPr="003B193D">
        <w:t>Food stores that sell coffee, smoothies, juices, and tea for consumption on site.</w:t>
      </w:r>
    </w:p>
    <w:p w14:paraId="61452472"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Unknown.  These beverages are generally not thought to be health promoting, but 100% fresh juices and green tea can be beneficial.  There may be other social benefits from having local places like these.</w:t>
      </w:r>
      <w:bookmarkStart w:id="25" w:name="_Toc342281116"/>
      <w:bookmarkStart w:id="26" w:name="_Toc342282500"/>
    </w:p>
    <w:p w14:paraId="34942379" w14:textId="77777777" w:rsidR="00DD7878" w:rsidRPr="00396C62" w:rsidRDefault="00DD7878" w:rsidP="00DD7878">
      <w:pPr>
        <w:pStyle w:val="ListParagraph"/>
        <w:numPr>
          <w:ilvl w:val="0"/>
          <w:numId w:val="8"/>
        </w:numPr>
        <w:spacing w:after="120"/>
      </w:pPr>
      <w:r w:rsidRPr="00396C62">
        <w:rPr>
          <w:b/>
        </w:rPr>
        <w:t>Drinking places (alcohol)</w:t>
      </w:r>
      <w:bookmarkEnd w:id="25"/>
      <w:bookmarkEnd w:id="26"/>
    </w:p>
    <w:p w14:paraId="3221AEAD"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with a primary SIC code of 58130000, 58130101, 58130202, 58130103, 58130200, 58130201, 58130100, 58130102, 58130104, 58130105, 58130106, or 58130203.</w:t>
      </w:r>
    </w:p>
    <w:p w14:paraId="5136F4E5" w14:textId="77777777" w:rsidR="00DD7878" w:rsidRDefault="00DD7878" w:rsidP="00DD7878">
      <w:pPr>
        <w:pStyle w:val="ListParagraph"/>
        <w:numPr>
          <w:ilvl w:val="1"/>
          <w:numId w:val="8"/>
        </w:numPr>
        <w:spacing w:after="120"/>
      </w:pPr>
      <w:r w:rsidRPr="00396C62">
        <w:rPr>
          <w:i/>
        </w:rPr>
        <w:t xml:space="preserve">General description: </w:t>
      </w:r>
      <w:r w:rsidRPr="003B193D">
        <w:t>Food stores that primarily sell alcohol for consumption on site.</w:t>
      </w:r>
    </w:p>
    <w:p w14:paraId="445DCB0F"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Unfavorable.</w:t>
      </w:r>
      <w:bookmarkStart w:id="27" w:name="_Toc342281117"/>
      <w:bookmarkStart w:id="28" w:name="_Toc342282501"/>
    </w:p>
    <w:p w14:paraId="5D43DE6E" w14:textId="77777777" w:rsidR="00DD7878" w:rsidRPr="00396C62" w:rsidRDefault="00DD7878" w:rsidP="00DD7878">
      <w:pPr>
        <w:pStyle w:val="ListParagraph"/>
        <w:numPr>
          <w:ilvl w:val="0"/>
          <w:numId w:val="8"/>
        </w:numPr>
        <w:spacing w:after="120"/>
      </w:pPr>
      <w:r w:rsidRPr="00396C62">
        <w:rPr>
          <w:b/>
        </w:rPr>
        <w:t>Fast food (chains)</w:t>
      </w:r>
      <w:bookmarkEnd w:id="27"/>
      <w:bookmarkEnd w:id="28"/>
    </w:p>
    <w:p w14:paraId="0FB915F4"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regardless of SIC code that appears on the l</w:t>
      </w:r>
      <w:r>
        <w:t>ist of fast food eating places</w:t>
      </w:r>
      <w:r w:rsidRPr="003B193D">
        <w:t>.</w:t>
      </w:r>
    </w:p>
    <w:p w14:paraId="4A8BEC02" w14:textId="77777777" w:rsidR="00DD7878" w:rsidRDefault="00DD7878" w:rsidP="00DD7878">
      <w:pPr>
        <w:pStyle w:val="ListParagraph"/>
        <w:numPr>
          <w:ilvl w:val="1"/>
          <w:numId w:val="8"/>
        </w:numPr>
        <w:spacing w:after="120"/>
      </w:pPr>
      <w:r w:rsidRPr="00396C62">
        <w:rPr>
          <w:i/>
        </w:rPr>
        <w:t xml:space="preserve">General description: </w:t>
      </w:r>
      <w:r w:rsidRPr="003B193D">
        <w:t>Large chain eating places that specialize in low preparation time foods that are eaten cafeteria-style (no waiter service) or take-away.  The list of the largest chains was derived from pulling the top 75 revenue-ranked fast-food restaurants for the year during 2005 (derived from Restaurant &amp; Institutions Top 100</w:t>
      </w:r>
      <w:r>
        <w:t>)</w:t>
      </w:r>
      <w:r>
        <w:rPr>
          <w:rStyle w:val="FootnoteReference"/>
        </w:rPr>
        <w:footnoteReference w:id="7"/>
      </w:r>
      <w:r>
        <w:t>.</w:t>
      </w:r>
      <w:r w:rsidRPr="003B193D">
        <w:t xml:space="preserve">  We excluded coffee, donut, and ice cream shops because those shops generally sell snacks and thus are not often thought of fast-food by consumers and so MESA respondents who report on fast-food eating behaviors and presence of fast food in their neighborhood are not likely to count the coffee, do</w:t>
      </w:r>
      <w:r>
        <w:t>nut, and ice cream restaurants.</w:t>
      </w:r>
    </w:p>
    <w:p w14:paraId="74E9F5AB"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Unfavorable.  Foods tend to be highly processed and therefore high in calories, saturated fat, salt, and sugar.</w:t>
      </w:r>
      <w:bookmarkStart w:id="29" w:name="_Toc342281118"/>
      <w:bookmarkStart w:id="30" w:name="_Toc342282502"/>
    </w:p>
    <w:p w14:paraId="4E82A55E" w14:textId="77777777" w:rsidR="00DD7878" w:rsidRPr="00396C62" w:rsidRDefault="00DD7878" w:rsidP="00DD7878">
      <w:pPr>
        <w:pStyle w:val="ListParagraph"/>
        <w:numPr>
          <w:ilvl w:val="0"/>
          <w:numId w:val="8"/>
        </w:numPr>
        <w:spacing w:after="120"/>
      </w:pPr>
      <w:r w:rsidRPr="00396C62">
        <w:rPr>
          <w:b/>
        </w:rPr>
        <w:t>Fast food (non-chain)</w:t>
      </w:r>
      <w:bookmarkEnd w:id="29"/>
      <w:bookmarkEnd w:id="30"/>
    </w:p>
    <w:p w14:paraId="050EF7EB" w14:textId="77777777" w:rsidR="00DD7878" w:rsidRDefault="00DD7878" w:rsidP="00DD7878">
      <w:pPr>
        <w:pStyle w:val="ListParagraph"/>
        <w:numPr>
          <w:ilvl w:val="1"/>
          <w:numId w:val="8"/>
        </w:numPr>
        <w:spacing w:after="120"/>
      </w:pPr>
      <w:r w:rsidRPr="00396C62">
        <w:rPr>
          <w:i/>
        </w:rPr>
        <w:t xml:space="preserve">Technical definition: </w:t>
      </w:r>
      <w:r w:rsidRPr="003B193D">
        <w:t>Any food store with the limited service restaurant SIC 581203 (except 58120304: Coffee shops) that are not on the fast food chain list as described in above Fast food chains.</w:t>
      </w:r>
    </w:p>
    <w:p w14:paraId="2A49B403" w14:textId="77777777" w:rsidR="00DD7878" w:rsidRDefault="00DD7878" w:rsidP="00DD7878">
      <w:pPr>
        <w:pStyle w:val="ListParagraph"/>
        <w:numPr>
          <w:ilvl w:val="1"/>
          <w:numId w:val="8"/>
        </w:numPr>
        <w:spacing w:after="120"/>
      </w:pPr>
      <w:r w:rsidRPr="00396C62">
        <w:rPr>
          <w:i/>
        </w:rPr>
        <w:t xml:space="preserve">General description: </w:t>
      </w:r>
      <w:r w:rsidRPr="003B193D">
        <w:t xml:space="preserve">Eating places that specialize in low preparation time foods that are eaten cafeteria-style (no waiter service) or take-away.  Fast food is defined by the industry as being "designed for ready availability, use or consumption and sold at eating establishments for quick availability or take-out. Fast food restaurants are also known as </w:t>
      </w:r>
      <w:r w:rsidRPr="003B193D">
        <w:lastRenderedPageBreak/>
        <w:t>quick-service restaurants.  That definition has low specificity so we added cafeteria style (no waiter service).</w:t>
      </w:r>
    </w:p>
    <w:p w14:paraId="688B8F0F" w14:textId="77777777" w:rsidR="00DD7878" w:rsidRPr="00396C62" w:rsidRDefault="00DD7878" w:rsidP="00DD7878">
      <w:pPr>
        <w:pStyle w:val="ListParagraph"/>
        <w:numPr>
          <w:ilvl w:val="1"/>
          <w:numId w:val="8"/>
        </w:numPr>
        <w:spacing w:after="120"/>
        <w:rPr>
          <w:b/>
        </w:rPr>
      </w:pPr>
      <w:r w:rsidRPr="00396C62">
        <w:rPr>
          <w:i/>
        </w:rPr>
        <w:t>Assumed health association</w:t>
      </w:r>
      <w:r w:rsidRPr="003B193D">
        <w:t>: Unfavorable.  Foods tend to be highly processed and therefore high in calories, saturated fat, salt, and sugar.</w:t>
      </w:r>
      <w:bookmarkStart w:id="31" w:name="_Toc342281119"/>
      <w:bookmarkStart w:id="32" w:name="_Toc342282503"/>
    </w:p>
    <w:p w14:paraId="4CFC2696" w14:textId="77777777" w:rsidR="00DD7878" w:rsidRPr="00396C62" w:rsidRDefault="00DD7878" w:rsidP="00DD7878">
      <w:pPr>
        <w:pStyle w:val="ListParagraph"/>
        <w:numPr>
          <w:ilvl w:val="0"/>
          <w:numId w:val="8"/>
        </w:numPr>
        <w:spacing w:after="120"/>
      </w:pPr>
      <w:r w:rsidRPr="00396C62">
        <w:rPr>
          <w:b/>
        </w:rPr>
        <w:t>Other eating places</w:t>
      </w:r>
      <w:bookmarkEnd w:id="31"/>
      <w:bookmarkEnd w:id="32"/>
    </w:p>
    <w:p w14:paraId="0061372A" w14:textId="77777777" w:rsidR="00DD7878" w:rsidRDefault="00DD7878" w:rsidP="00DD7878">
      <w:pPr>
        <w:pStyle w:val="ListParagraph"/>
        <w:numPr>
          <w:ilvl w:val="1"/>
          <w:numId w:val="8"/>
        </w:numPr>
        <w:spacing w:after="120"/>
      </w:pPr>
      <w:r w:rsidRPr="00396C62">
        <w:rPr>
          <w:i/>
        </w:rPr>
        <w:t xml:space="preserve">Technical definition: </w:t>
      </w:r>
      <w:r w:rsidRPr="003B193D">
        <w:t>Any eating place with SIC 5812 that is not in the fast food categories above.</w:t>
      </w:r>
    </w:p>
    <w:p w14:paraId="2C8E049A" w14:textId="77777777" w:rsidR="00DD7878" w:rsidRDefault="00DD7878" w:rsidP="00DD7878">
      <w:pPr>
        <w:pStyle w:val="ListParagraph"/>
        <w:numPr>
          <w:ilvl w:val="1"/>
          <w:numId w:val="8"/>
        </w:numPr>
        <w:spacing w:after="120"/>
      </w:pPr>
      <w:r w:rsidRPr="00396C62">
        <w:rPr>
          <w:i/>
        </w:rPr>
        <w:t xml:space="preserve">General description: </w:t>
      </w:r>
      <w:r w:rsidRPr="003B193D">
        <w:t>A wide variety of restaurants and other eating places that are not considered to be fast food.</w:t>
      </w:r>
    </w:p>
    <w:p w14:paraId="5F534037" w14:textId="77777777" w:rsidR="00DD7878" w:rsidRPr="00396C62" w:rsidRDefault="00DD7878" w:rsidP="00DD7878">
      <w:pPr>
        <w:pStyle w:val="ListParagraph"/>
        <w:numPr>
          <w:ilvl w:val="1"/>
          <w:numId w:val="8"/>
        </w:numPr>
        <w:spacing w:after="120"/>
        <w:rPr>
          <w:b/>
        </w:rPr>
      </w:pPr>
      <w:r w:rsidRPr="00396C62">
        <w:rPr>
          <w:i/>
        </w:rPr>
        <w:t xml:space="preserve">Assumed health association: </w:t>
      </w:r>
      <w:r w:rsidRPr="003B193D">
        <w:t>Unknown.  There is a wide variety of different types of restaurants in this category.</w:t>
      </w:r>
      <w:bookmarkStart w:id="33" w:name="_Toc342281120"/>
      <w:bookmarkStart w:id="34" w:name="_Toc342282504"/>
    </w:p>
    <w:p w14:paraId="17D37605" w14:textId="77777777" w:rsidR="00DD7878" w:rsidRPr="00396C62" w:rsidRDefault="00DD7878" w:rsidP="00DD7878">
      <w:pPr>
        <w:pStyle w:val="ListParagraph"/>
        <w:numPr>
          <w:ilvl w:val="0"/>
          <w:numId w:val="8"/>
        </w:numPr>
        <w:spacing w:after="120"/>
      </w:pPr>
      <w:r w:rsidRPr="00396C62">
        <w:rPr>
          <w:b/>
        </w:rPr>
        <w:t>Other</w:t>
      </w:r>
      <w:bookmarkEnd w:id="33"/>
      <w:bookmarkEnd w:id="34"/>
    </w:p>
    <w:p w14:paraId="266350D8" w14:textId="77777777" w:rsidR="00DD7878" w:rsidRDefault="00DD7878" w:rsidP="00DD7878">
      <w:pPr>
        <w:pStyle w:val="ListParagraph"/>
        <w:numPr>
          <w:ilvl w:val="1"/>
          <w:numId w:val="8"/>
        </w:numPr>
        <w:spacing w:after="120"/>
      </w:pPr>
      <w:r w:rsidRPr="00396C62">
        <w:rPr>
          <w:i/>
        </w:rPr>
        <w:t xml:space="preserve">Technical definition: </w:t>
      </w:r>
      <w:r w:rsidRPr="003B193D">
        <w:t>Any food establishment not already in a category including stores with "general" or "unknown" SIC codes 54119903, 54990000, 54999900, 54999903, or 54999905.</w:t>
      </w:r>
    </w:p>
    <w:p w14:paraId="4B213CB2" w14:textId="77777777" w:rsidR="00DD7878" w:rsidRDefault="00DD7878" w:rsidP="00DD7878">
      <w:pPr>
        <w:pStyle w:val="ListParagraph"/>
        <w:numPr>
          <w:ilvl w:val="1"/>
          <w:numId w:val="8"/>
        </w:numPr>
        <w:spacing w:after="120"/>
      </w:pPr>
      <w:r w:rsidRPr="00396C62">
        <w:rPr>
          <w:i/>
        </w:rPr>
        <w:t>General description</w:t>
      </w:r>
      <w:r w:rsidRPr="003B193D">
        <w:t>: All other food stores not in another category.</w:t>
      </w:r>
    </w:p>
    <w:p w14:paraId="5522446A" w14:textId="77777777" w:rsidR="00DD7878" w:rsidRDefault="00DD7878" w:rsidP="00DD7878">
      <w:pPr>
        <w:pStyle w:val="ListParagraph"/>
        <w:numPr>
          <w:ilvl w:val="1"/>
          <w:numId w:val="8"/>
        </w:numPr>
        <w:spacing w:after="120"/>
      </w:pPr>
      <w:r w:rsidRPr="00396C62">
        <w:rPr>
          <w:i/>
        </w:rPr>
        <w:t xml:space="preserve">Assumed health association: </w:t>
      </w:r>
      <w:r w:rsidRPr="003B193D">
        <w:t>Unknown.</w:t>
      </w:r>
    </w:p>
    <w:p w14:paraId="4306AF33" w14:textId="77777777" w:rsidR="00781BC9" w:rsidRDefault="00781BC9" w:rsidP="00781BC9"/>
    <w:p w14:paraId="5626F037" w14:textId="77777777" w:rsidR="00781BC9" w:rsidRDefault="00781BC9" w:rsidP="00781BC9">
      <w:r w:rsidRPr="00FA7C0B">
        <w:t>These categories were then collapsed into broader categories for</w:t>
      </w:r>
      <w:r>
        <w:t xml:space="preserve"> analysis purposes of:</w:t>
      </w:r>
    </w:p>
    <w:p w14:paraId="2EDA58FB" w14:textId="77777777" w:rsidR="00781BC9" w:rsidRDefault="00781BC9" w:rsidP="00781BC9">
      <w:pPr>
        <w:pStyle w:val="ListParagraph"/>
        <w:numPr>
          <w:ilvl w:val="0"/>
          <w:numId w:val="9"/>
        </w:numPr>
      </w:pPr>
      <w:r>
        <w:t>Favorable food stores</w:t>
      </w:r>
    </w:p>
    <w:p w14:paraId="09945759" w14:textId="77777777" w:rsidR="00781BC9" w:rsidRDefault="00781BC9" w:rsidP="00781BC9">
      <w:pPr>
        <w:pStyle w:val="ListParagraph"/>
        <w:numPr>
          <w:ilvl w:val="1"/>
          <w:numId w:val="9"/>
        </w:numPr>
      </w:pPr>
      <w:r>
        <w:t>Consist of supermarkets (chain and non-chain) and fruit and vegetable markets.</w:t>
      </w:r>
    </w:p>
    <w:p w14:paraId="1AE7B3B9" w14:textId="77777777" w:rsidR="00781BC9" w:rsidRDefault="00781BC9" w:rsidP="00781BC9">
      <w:pPr>
        <w:pStyle w:val="ListParagraph"/>
        <w:numPr>
          <w:ilvl w:val="0"/>
          <w:numId w:val="9"/>
        </w:numPr>
      </w:pPr>
      <w:r>
        <w:t>Unfavorable food stores (with alcohol)</w:t>
      </w:r>
    </w:p>
    <w:p w14:paraId="45E67123" w14:textId="77777777" w:rsidR="00781BC9" w:rsidRDefault="00781BC9" w:rsidP="00781BC9">
      <w:pPr>
        <w:pStyle w:val="ListParagraph"/>
        <w:numPr>
          <w:ilvl w:val="1"/>
          <w:numId w:val="9"/>
        </w:numPr>
      </w:pPr>
      <w:r>
        <w:t>Consists of convenience stores, bakeries/nuts/candy/ice cream, liquor stores, drinking places alcoholic, and fast food (chain and non-chain).</w:t>
      </w:r>
    </w:p>
    <w:p w14:paraId="348F16A5" w14:textId="77777777" w:rsidR="00781BC9" w:rsidRDefault="00781BC9" w:rsidP="00781BC9">
      <w:pPr>
        <w:pStyle w:val="ListParagraph"/>
        <w:numPr>
          <w:ilvl w:val="0"/>
          <w:numId w:val="9"/>
        </w:numPr>
      </w:pPr>
      <w:r>
        <w:t>Unfavorable food stores (no alcohol)</w:t>
      </w:r>
    </w:p>
    <w:p w14:paraId="706483FE" w14:textId="77777777" w:rsidR="00781BC9" w:rsidRDefault="00781BC9" w:rsidP="00781BC9">
      <w:pPr>
        <w:pStyle w:val="ListParagraph"/>
        <w:numPr>
          <w:ilvl w:val="1"/>
          <w:numId w:val="9"/>
        </w:numPr>
      </w:pPr>
      <w:r>
        <w:t>Consists of convenience stores, bakeries/nuts/candy/ice cream, and fast food (chain and non-chain).</w:t>
      </w:r>
    </w:p>
    <w:p w14:paraId="3E16F167" w14:textId="77777777" w:rsidR="00DD7878" w:rsidRDefault="00DD7878" w:rsidP="0043440F"/>
    <w:p w14:paraId="498E6D09" w14:textId="1DAD5DF2" w:rsidR="001513E8" w:rsidRDefault="001513E8" w:rsidP="001513E8">
      <w:r>
        <w:t>The following summary measure was created to capture the relationship of favorable to unfavorable food stores:</w:t>
      </w:r>
    </w:p>
    <w:p w14:paraId="3350870C" w14:textId="6B8EE806" w:rsidR="001513E8" w:rsidRDefault="001513E8" w:rsidP="001513E8">
      <w:pPr>
        <w:numPr>
          <w:ilvl w:val="0"/>
          <w:numId w:val="10"/>
        </w:numPr>
        <w:spacing w:after="120" w:line="240" w:lineRule="auto"/>
      </w:pPr>
      <w:r>
        <w:t>Modified Retail Food Environment Index</w:t>
      </w:r>
    </w:p>
    <w:p w14:paraId="3359A5F6" w14:textId="77777777" w:rsidR="001513E8" w:rsidRDefault="001513E8" w:rsidP="001513E8">
      <w:pPr>
        <w:spacing w:after="120"/>
        <w:ind w:left="360" w:firstLine="720"/>
      </w:pPr>
      <w:r>
        <w:t>This is calculated as:</w:t>
      </w:r>
    </w:p>
    <w:p w14:paraId="1140969A" w14:textId="77777777" w:rsidR="001513E8" w:rsidRDefault="001513E8" w:rsidP="001513E8">
      <w:pPr>
        <w:spacing w:after="120"/>
        <w:ind w:left="360" w:firstLine="720"/>
      </w:pPr>
      <w:r>
        <w:t>MRFEI_TOT = (Favorable)/(Favorable+Unfavorable including alcohol) and</w:t>
      </w:r>
    </w:p>
    <w:p w14:paraId="75DE4950" w14:textId="77777777" w:rsidR="001513E8" w:rsidRDefault="001513E8" w:rsidP="001513E8">
      <w:pPr>
        <w:spacing w:after="120"/>
        <w:ind w:left="360" w:firstLine="720"/>
      </w:pPr>
      <w:r>
        <w:t>MRFEI_NOALC = (Favorable)/(Favorable+Unfavorable excluding alcohol)</w:t>
      </w:r>
    </w:p>
    <w:p w14:paraId="6BAF8B2E" w14:textId="77777777" w:rsidR="001513E8" w:rsidRDefault="001513E8" w:rsidP="001513E8">
      <w:pPr>
        <w:spacing w:after="120"/>
        <w:ind w:left="1080"/>
      </w:pPr>
      <w:r>
        <w:t xml:space="preserve">Where Unfavorable including alcohol is defined as convenience stores, bakery, candy, nuts, ice cream, liquor stores, drinking places alcoholic, and fast food (chain and non-chain), Unfavorable excluding alcohol is defined as convenience stores, bakery, candy, nuts, ice </w:t>
      </w:r>
      <w:r>
        <w:lastRenderedPageBreak/>
        <w:t>cream, and fast food (chain and non-chain), and Favorable is defined as supermarkets (chain and non-chain) and fruit and vegetable markets.</w:t>
      </w:r>
    </w:p>
    <w:p w14:paraId="487B4CFC" w14:textId="77777777" w:rsidR="001513E8" w:rsidRDefault="001513E8" w:rsidP="001513E8">
      <w:pPr>
        <w:spacing w:after="120"/>
        <w:ind w:left="1080"/>
      </w:pPr>
      <w:r>
        <w:t>This is based on the mRFEI variable as defined by the CDC.  Modifications were made to the definition of unfavorable to include bakery/candy/nut/ice cream shops, liquor stores, and alcoholic drinking places.</w:t>
      </w:r>
    </w:p>
    <w:p w14:paraId="3D454154" w14:textId="77777777" w:rsidR="001513E8" w:rsidRPr="00144463" w:rsidRDefault="001513E8" w:rsidP="001513E8">
      <w:pPr>
        <w:spacing w:after="120"/>
        <w:ind w:left="1080"/>
      </w:pPr>
      <w:r>
        <w:t>This will give a proportion of favorable food stores compared to the total amount of favorable and unfavorable where the larger the number, better the access to favorable food (ie: if there is a high number close to 1, there is better access to favorable food).  For those where both favorable and unfavorable food stores are 0, this will be coded as 999999999.  This indicates that there are no stores in the area.</w:t>
      </w:r>
    </w:p>
    <w:p w14:paraId="113F8329" w14:textId="77777777" w:rsidR="001513E8" w:rsidRDefault="001513E8" w:rsidP="001513E8">
      <w:pPr>
        <w:spacing w:after="120"/>
      </w:pPr>
      <w:r>
        <w:t>When using any of these indices, careful consideration needs to be taken into account as to how to use them when the denominator is 0.  In general, these indices work better for the simple densities rather than the kernel densities which weight for the distance away from the address and cause these ratios to be difficult to interpret.</w:t>
      </w:r>
    </w:p>
    <w:p w14:paraId="4C977344" w14:textId="77777777" w:rsidR="001513E8" w:rsidRDefault="001513E8" w:rsidP="001513E8">
      <w:r>
        <w:t>For the mRFEI, it is recommended by Stephen Onufrak at the CDC (through Latetia Moore) to use this variable in analysis as a categorical variable (ie: quartiles) rather than a continuous variable.  Values where there are no food stores (healthy or unhealthy) should be categorized as a separate category.</w:t>
      </w:r>
    </w:p>
    <w:p w14:paraId="01AF6B18" w14:textId="77777777" w:rsidR="00F171D0" w:rsidRDefault="00F171D0" w:rsidP="005D54B5">
      <w:pPr>
        <w:pStyle w:val="Heading2"/>
        <w:rPr>
          <w:highlight w:val="yellow"/>
        </w:rPr>
      </w:pPr>
    </w:p>
    <w:p w14:paraId="5CD23AF7" w14:textId="0B25BBAA" w:rsidR="00B32C93" w:rsidRPr="00F171D0" w:rsidRDefault="00F171D0" w:rsidP="00374973">
      <w:pPr>
        <w:pStyle w:val="Heading3"/>
      </w:pPr>
      <w:r w:rsidRPr="00F171D0">
        <w:t>Physical Activity/Recreational Resources</w:t>
      </w:r>
    </w:p>
    <w:p w14:paraId="4E01D054" w14:textId="2A5CE785" w:rsidR="003E6F14" w:rsidRDefault="003E6F14" w:rsidP="003E6F14">
      <w:r>
        <w:t>The recreational facilities data consists of places to get physical activity and other recreation activities.  SIC codes selected were based on previous work</w:t>
      </w:r>
      <w:r>
        <w:rPr>
          <w:rStyle w:val="FootnoteReference"/>
        </w:rPr>
        <w:footnoteReference w:id="8"/>
      </w:r>
      <w:r>
        <w:t>.</w:t>
      </w:r>
      <w:r w:rsidR="009A27E8">
        <w:t xml:space="preserve"> Data is from the NETS database as described above.</w:t>
      </w:r>
    </w:p>
    <w:p w14:paraId="4601C797" w14:textId="77777777" w:rsidR="0093307D" w:rsidRPr="00517472" w:rsidRDefault="0093307D" w:rsidP="004E3A40">
      <w:pPr>
        <w:pStyle w:val="NoSpacing"/>
        <w:rPr>
          <w:rFonts w:cstheme="minorHAnsi"/>
          <w:highlight w:val="yellow"/>
        </w:rPr>
      </w:pPr>
    </w:p>
    <w:p w14:paraId="6D07C6D3" w14:textId="45B64A21" w:rsidR="00B47557" w:rsidRDefault="00B47557" w:rsidP="00B47557">
      <w:r>
        <w:t xml:space="preserve">The recreational facilities are categorized into 12 categories as follows (note that not all separate categories are included in the dataset – only those that </w:t>
      </w:r>
      <w:r w:rsidR="00B61764">
        <w:t xml:space="preserve">are commonly used are included). </w:t>
      </w:r>
      <w:r w:rsidR="00B61764" w:rsidRPr="00C05FAA">
        <w:t>Each SIC code was assigned to one category.</w:t>
      </w:r>
      <w:r w:rsidR="00B61764">
        <w:t xml:space="preserve">  Establishments that are listed as headquarters are included as recreational facilities.  This is different from the food stores data where they are excluded.  For the recreational facilities, they are included because it was felt that there are fewer chains where they would have just an administrative head that didn’t offer any services as opposed to the food stores where there are many more chains where the headquarters represent just an administrative head without services.  There will be some locations that don’t actually offer any services but this will be a small minority of the locations.  Only about 2% of the locations at each year 2000-2010 are considered headquarters in the recreational facilities data.</w:t>
      </w:r>
    </w:p>
    <w:p w14:paraId="5E6383B6"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lastRenderedPageBreak/>
        <w:t>Indoor Conditioning Activities</w:t>
      </w:r>
    </w:p>
    <w:p w14:paraId="2AC0CF16"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79110100, 79110101, 79110102, 79910000, 79910100, 79910101, 79910102, 79910300, 79910301, 79910302, 79970000</w:t>
      </w:r>
      <w:r w:rsidRPr="0007532A">
        <w:t>.</w:t>
      </w:r>
    </w:p>
    <w:p w14:paraId="41D53D08"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Physical fitness facilities, dancing–aerobics/ballet, athletic club exercise</w:t>
      </w:r>
      <w:r w:rsidRPr="0007532A">
        <w:t>.</w:t>
      </w:r>
    </w:p>
    <w:p w14:paraId="2C934508"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Recreational</w:t>
      </w:r>
    </w:p>
    <w:p w14:paraId="28CC17AE"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79330000, 79339901, 79339902, 79339903, 79920000, 79970100, 79970400, 79979906, 79979907, 79979908, 79990202, 79990204, 79990205, 79990601, 79990602, 79990603, 79990700, 79990701, 79991200, 79991202, 79991204, 79991604, 79999903, 79999907, 79999910, 79999912, 79999917, 79990501, 79991205, 79970302, 79990000, 79339900, 79990402, 79990600</w:t>
      </w:r>
      <w:r w:rsidRPr="0007532A">
        <w:t>.</w:t>
      </w:r>
    </w:p>
    <w:p w14:paraId="38B52489"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Bowling, golf, ice sports, outdoor field clubs, horse riding, lawn bowling, skating–ice or roller, shooting/hunting, archery, trail hiking, baseball batting cage, recreation centers/services, trampolines, biking, ping pong</w:t>
      </w:r>
      <w:r w:rsidRPr="0007532A">
        <w:t>.</w:t>
      </w:r>
    </w:p>
    <w:p w14:paraId="184769B3"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Team Sports</w:t>
      </w:r>
    </w:p>
    <w:p w14:paraId="06AEA7E9"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79970101, 79970102, 79970401, 79970402, 79970404, 79979902</w:t>
      </w:r>
      <w:r w:rsidRPr="0007532A">
        <w:t>.</w:t>
      </w:r>
    </w:p>
    <w:p w14:paraId="756C4BBD"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Curling, hockey, baseball, football, soccer, bowling league/team</w:t>
      </w:r>
      <w:r w:rsidRPr="0007532A">
        <w:t>.</w:t>
      </w:r>
    </w:p>
    <w:p w14:paraId="56A29768"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Water Activities</w:t>
      </w:r>
    </w:p>
    <w:p w14:paraId="36975376"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79970201, 79970202, 79991402, 79991512, 79991513, 79991409, 79991410, 79991411</w:t>
      </w:r>
      <w:r w:rsidRPr="0007532A">
        <w:t>.</w:t>
      </w:r>
    </w:p>
    <w:p w14:paraId="6669B82C"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Boating, beach club/bathing beach, waterslide, wave pool, rowboat/canoe rental, sailboard/surfing rental</w:t>
      </w:r>
      <w:r w:rsidRPr="0007532A">
        <w:t>.</w:t>
      </w:r>
    </w:p>
    <w:p w14:paraId="00CB55D1"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Water Activities that involve Conditioning</w:t>
      </w:r>
    </w:p>
    <w:p w14:paraId="13A7E0A3"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79970200, 79970203, 79991412</w:t>
      </w:r>
      <w:r w:rsidRPr="0007532A">
        <w:t>.</w:t>
      </w:r>
    </w:p>
    <w:p w14:paraId="2A61790D"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Swimming clubs and pools</w:t>
      </w:r>
      <w:r w:rsidRPr="0007532A">
        <w:t>.</w:t>
      </w:r>
    </w:p>
    <w:p w14:paraId="786DB0AA"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Racquet Sports</w:t>
      </w:r>
    </w:p>
    <w:p w14:paraId="231F5026"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79970500, 79970501, 79970502, 79970503, 79970504, 79990101, 79990102, 79990300, 79990301, 79990302, 79990303</w:t>
      </w:r>
      <w:r w:rsidRPr="0007532A">
        <w:t>.</w:t>
      </w:r>
    </w:p>
    <w:p w14:paraId="0352908F"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Handball, racquetball, squash, tennis</w:t>
      </w:r>
      <w:r w:rsidRPr="0007532A">
        <w:t>.</w:t>
      </w:r>
    </w:p>
    <w:p w14:paraId="11806DC2"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Camps/Vacation</w:t>
      </w:r>
    </w:p>
    <w:p w14:paraId="06FF5A9D"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70110200, 70110201, 70110202, 70320000, 70320100, 70320101, 70320102, 70320300, 70320301, 70320302, 70330000, 70339900, 70339901, 70339902, 79991602</w:t>
      </w:r>
      <w:r w:rsidRPr="0007532A">
        <w:t>.</w:t>
      </w:r>
    </w:p>
    <w:p w14:paraId="0D43E6D2"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Non-regular use and/or may be used by out-of-town people more than locals</w:t>
      </w:r>
      <w:r w:rsidRPr="0007532A">
        <w:t>.</w:t>
      </w:r>
    </w:p>
    <w:p w14:paraId="00FAB918"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Instructional in Indoor Conditioning</w:t>
      </w:r>
    </w:p>
    <w:p w14:paraId="2D9B870A"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79110000, 79110200, 79110202, 79110203, 79110204, 79991111, 79991112, 79991113, 79991127, 79991123</w:t>
      </w:r>
      <w:r w:rsidRPr="0007532A">
        <w:t>.</w:t>
      </w:r>
    </w:p>
    <w:p w14:paraId="429862C0"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Instruction in indoor conditioning</w:t>
      </w:r>
      <w:r w:rsidRPr="0007532A">
        <w:t>.</w:t>
      </w:r>
    </w:p>
    <w:p w14:paraId="6B11361A"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Instructional in Recreational</w:t>
      </w:r>
    </w:p>
    <w:p w14:paraId="0E557D95"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79990200, 79990203, 79991104, 79991118, 79991119, 79991201</w:t>
      </w:r>
      <w:r w:rsidRPr="0007532A">
        <w:t>.</w:t>
      </w:r>
    </w:p>
    <w:p w14:paraId="00BF7375"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lastRenderedPageBreak/>
        <w:t>General description</w:t>
      </w:r>
      <w:r w:rsidRPr="0007532A">
        <w:t xml:space="preserve">: </w:t>
      </w:r>
      <w:r w:rsidRPr="00046D16">
        <w:rPr>
          <w:rFonts w:eastAsia="Times New Roman"/>
        </w:rPr>
        <w:t>Instruction in recreational activities</w:t>
      </w:r>
      <w:r w:rsidRPr="0007532A">
        <w:t>.</w:t>
      </w:r>
    </w:p>
    <w:p w14:paraId="4BBCF711"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Instructional in Team Sports</w:t>
      </w:r>
    </w:p>
    <w:p w14:paraId="2B5F1D6C"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79991102, 79991103, 79991110</w:t>
      </w:r>
      <w:r w:rsidRPr="0007532A">
        <w:t>.</w:t>
      </w:r>
    </w:p>
    <w:p w14:paraId="7AF879CB"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Instruction in team sports</w:t>
      </w:r>
      <w:r w:rsidRPr="0007532A">
        <w:t>.</w:t>
      </w:r>
    </w:p>
    <w:p w14:paraId="29655E7A"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Instructional in Water Activities</w:t>
      </w:r>
    </w:p>
    <w:p w14:paraId="30E64038"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79991107, 79991115, 79991116, 79991121, 79991122</w:t>
      </w:r>
      <w:r w:rsidRPr="0007532A">
        <w:t>.</w:t>
      </w:r>
    </w:p>
    <w:p w14:paraId="0C3A6C47" w14:textId="77777777" w:rsidR="00B47557" w:rsidRPr="00046D16" w:rsidRDefault="00B47557" w:rsidP="00B47557">
      <w:pPr>
        <w:pStyle w:val="ListParagraph"/>
        <w:numPr>
          <w:ilvl w:val="1"/>
          <w:numId w:val="11"/>
        </w:numPr>
        <w:autoSpaceDE w:val="0"/>
        <w:autoSpaceDN w:val="0"/>
        <w:adjustRightInd w:val="0"/>
        <w:spacing w:after="120" w:line="240" w:lineRule="auto"/>
        <w:rPr>
          <w:b/>
        </w:rPr>
      </w:pPr>
      <w:r w:rsidRPr="00046D16">
        <w:rPr>
          <w:i/>
        </w:rPr>
        <w:t>General description</w:t>
      </w:r>
      <w:r w:rsidRPr="0007532A">
        <w:t xml:space="preserve">: </w:t>
      </w:r>
      <w:r w:rsidRPr="00046D16">
        <w:rPr>
          <w:rFonts w:eastAsia="Times New Roman"/>
        </w:rPr>
        <w:t>Instruction in water activities</w:t>
      </w:r>
      <w:r w:rsidRPr="0007532A">
        <w:t>.</w:t>
      </w:r>
    </w:p>
    <w:p w14:paraId="3858A1A8" w14:textId="77777777" w:rsidR="00B47557" w:rsidRPr="00046D16" w:rsidRDefault="00B47557" w:rsidP="00B47557">
      <w:pPr>
        <w:pStyle w:val="ListParagraph"/>
        <w:numPr>
          <w:ilvl w:val="0"/>
          <w:numId w:val="11"/>
        </w:numPr>
        <w:autoSpaceDE w:val="0"/>
        <w:autoSpaceDN w:val="0"/>
        <w:adjustRightInd w:val="0"/>
        <w:spacing w:after="0" w:line="240" w:lineRule="auto"/>
      </w:pPr>
      <w:r w:rsidRPr="00046D16">
        <w:rPr>
          <w:b/>
        </w:rPr>
        <w:t>Instructional in Racquet Sports</w:t>
      </w:r>
    </w:p>
    <w:p w14:paraId="3B3E76E9" w14:textId="77777777" w:rsidR="00B47557" w:rsidRDefault="00B47557" w:rsidP="00B47557">
      <w:pPr>
        <w:pStyle w:val="ListParagraph"/>
        <w:numPr>
          <w:ilvl w:val="1"/>
          <w:numId w:val="11"/>
        </w:numPr>
        <w:autoSpaceDE w:val="0"/>
        <w:autoSpaceDN w:val="0"/>
        <w:adjustRightInd w:val="0"/>
        <w:spacing w:after="120" w:line="240" w:lineRule="auto"/>
      </w:pPr>
      <w:r w:rsidRPr="00046D16">
        <w:rPr>
          <w:i/>
        </w:rPr>
        <w:t xml:space="preserve">Technical definition: </w:t>
      </w:r>
      <w:r w:rsidRPr="0007532A">
        <w:t xml:space="preserve">Any recreational facility with SIC codes </w:t>
      </w:r>
      <w:r w:rsidRPr="00046D16">
        <w:rPr>
          <w:rFonts w:cs="Courier New"/>
          <w:shd w:val="clear" w:color="auto" w:fill="FFFFFF"/>
        </w:rPr>
        <w:t>79990100, 79990103</w:t>
      </w:r>
      <w:r w:rsidRPr="0007532A">
        <w:t>.</w:t>
      </w:r>
    </w:p>
    <w:p w14:paraId="66648A0E" w14:textId="77777777" w:rsidR="00B47557" w:rsidRDefault="00B47557" w:rsidP="00B47557">
      <w:pPr>
        <w:pStyle w:val="ListParagraph"/>
        <w:numPr>
          <w:ilvl w:val="1"/>
          <w:numId w:val="11"/>
        </w:numPr>
        <w:autoSpaceDE w:val="0"/>
        <w:autoSpaceDN w:val="0"/>
        <w:adjustRightInd w:val="0"/>
        <w:spacing w:after="120" w:line="240" w:lineRule="auto"/>
      </w:pPr>
      <w:r w:rsidRPr="00F240EA">
        <w:rPr>
          <w:i/>
        </w:rPr>
        <w:t>General description</w:t>
      </w:r>
      <w:r w:rsidRPr="0007532A">
        <w:t xml:space="preserve">: </w:t>
      </w:r>
      <w:r w:rsidRPr="00F240EA">
        <w:rPr>
          <w:rFonts w:eastAsia="Times New Roman"/>
        </w:rPr>
        <w:t>Instruction in racquet sports</w:t>
      </w:r>
      <w:r w:rsidRPr="0007532A">
        <w:t>.</w:t>
      </w:r>
    </w:p>
    <w:p w14:paraId="18FDD951" w14:textId="77777777" w:rsidR="00AC40A8" w:rsidRDefault="00AC40A8" w:rsidP="00AC40A8"/>
    <w:p w14:paraId="4B91CA04" w14:textId="77777777" w:rsidR="00AC40A8" w:rsidRDefault="00AC40A8" w:rsidP="00AC40A8">
      <w:r w:rsidRPr="00FA7C0B">
        <w:t>These categories were then collapsed into broader categories for</w:t>
      </w:r>
      <w:r>
        <w:t xml:space="preserve"> analysis purposes of:</w:t>
      </w:r>
    </w:p>
    <w:p w14:paraId="313DDCB6" w14:textId="77777777" w:rsidR="00AC40A8" w:rsidRDefault="00AC40A8" w:rsidP="00AC40A8">
      <w:pPr>
        <w:pStyle w:val="ListParagraph"/>
        <w:numPr>
          <w:ilvl w:val="0"/>
          <w:numId w:val="12"/>
        </w:numPr>
      </w:pPr>
      <w:r>
        <w:t>Total Physical Activities with Instructional and Water Activities including recreational</w:t>
      </w:r>
    </w:p>
    <w:p w14:paraId="2D48F7A7" w14:textId="77777777" w:rsidR="00AC40A8" w:rsidRDefault="00AC40A8" w:rsidP="00AC40A8">
      <w:pPr>
        <w:pStyle w:val="ListParagraph"/>
        <w:numPr>
          <w:ilvl w:val="1"/>
          <w:numId w:val="12"/>
        </w:numPr>
      </w:pPr>
      <w:r>
        <w:t>Consists of Indoor Conditioning, Recreational, Team Sports, Water Activities, Water Activities Conditioning, Racquet Sports, Instructional in Indoor Conditioning, Instructional in Recreational, Instructional in Team Sports, Instructional in Water Activities, Instructional in Racquet Sports</w:t>
      </w:r>
    </w:p>
    <w:p w14:paraId="2317F870" w14:textId="77777777" w:rsidR="00AC40A8" w:rsidRDefault="00AC40A8" w:rsidP="00AC40A8">
      <w:pPr>
        <w:pStyle w:val="ListParagraph"/>
        <w:numPr>
          <w:ilvl w:val="0"/>
          <w:numId w:val="12"/>
        </w:numPr>
      </w:pPr>
      <w:r>
        <w:t>Total Physical Activities with Instructional and Water Activities excluding recreational</w:t>
      </w:r>
    </w:p>
    <w:p w14:paraId="69A2A7B8" w14:textId="77777777" w:rsidR="00AC40A8" w:rsidRDefault="00AC40A8" w:rsidP="00AC40A8">
      <w:pPr>
        <w:pStyle w:val="ListParagraph"/>
        <w:numPr>
          <w:ilvl w:val="1"/>
          <w:numId w:val="12"/>
        </w:numPr>
      </w:pPr>
      <w:r>
        <w:t>Consists of Indoor Conditioning, Team Sports, Water Activities, Water Activities Conditioning, Racquet Sports, Instructional in Indoor Conditioning, Instructional in Team Sports, Instructional in Water Activities, Instructional in Racquet Sports</w:t>
      </w:r>
    </w:p>
    <w:p w14:paraId="20091F2E" w14:textId="77777777" w:rsidR="00AC40A8" w:rsidRDefault="00AC40A8" w:rsidP="00AC40A8">
      <w:r>
        <w:t>All of the above categories are also available as indoor and outdoor activities.  Indoor and outdoor are not mutually exclusive categories (ie: a facility could be categorized as both indoor and outdoor).</w:t>
      </w:r>
    </w:p>
    <w:p w14:paraId="6D5538C3" w14:textId="77777777" w:rsidR="00374973" w:rsidRDefault="00374973" w:rsidP="00374973">
      <w:pPr>
        <w:pStyle w:val="Heading3"/>
      </w:pPr>
    </w:p>
    <w:p w14:paraId="5D1CE59E" w14:textId="5668E773" w:rsidR="00374973" w:rsidRPr="00F171D0" w:rsidRDefault="00374973" w:rsidP="00374973">
      <w:pPr>
        <w:pStyle w:val="Heading3"/>
      </w:pPr>
      <w:r>
        <w:t>Social Engagement Destinations</w:t>
      </w:r>
    </w:p>
    <w:p w14:paraId="13614602" w14:textId="57FC8E0D" w:rsidR="00374973" w:rsidRDefault="00374973" w:rsidP="00374973">
      <w:r>
        <w:t>The social engagement data consists of places which promote social engagement and social interaction.  SIC codes were selected based on previous work by Christine Hoehner</w:t>
      </w:r>
      <w:r>
        <w:rPr>
          <w:rStyle w:val="FootnoteReference"/>
        </w:rPr>
        <w:footnoteReference w:id="9"/>
      </w:r>
      <w:r>
        <w:t>.</w:t>
      </w:r>
      <w:r w:rsidR="00F77F1E">
        <w:t xml:space="preserve"> A total of 430 SIC codes were purchased as social engagement destinations. For non-food based SIC codes, establishments that are listed as headquarters are included as social engagement destinations.  This is different from the food stores data where they are excluded.  For the non-food based, they are included because it was felt that there are fewer chains where they would have just an administrative head that didn’t offer any services as opposed to the food stores where there are many more chains where the headquarters represent just an administrative head without services.  There will be some locations that don’t actually offer any services but this will be a small minority of the locations.  Less than 2% of the locations at each year 2000-2010 are considered headquarters.</w:t>
      </w:r>
    </w:p>
    <w:p w14:paraId="18EADA02" w14:textId="2060AB5B" w:rsidR="00374973" w:rsidRDefault="00374973" w:rsidP="00374973">
      <w:r>
        <w:lastRenderedPageBreak/>
        <w:t>The social engagement destinations are categorized into 15 categories as follows (note that not all separate categories are included in the dataset – only those that are commonly used are included):</w:t>
      </w:r>
    </w:p>
    <w:p w14:paraId="04BA3B0C"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Beauty Shops and Barbers</w:t>
      </w:r>
    </w:p>
    <w:p w14:paraId="7777F74D"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7231, 7241</w:t>
      </w:r>
      <w:r w:rsidRPr="006B58AC">
        <w:t>.</w:t>
      </w:r>
    </w:p>
    <w:p w14:paraId="50572ACD"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w:t>
      </w:r>
      <w:r w:rsidRPr="0012750B">
        <w:rPr>
          <w:rFonts w:eastAsia="Times New Roman"/>
        </w:rPr>
        <w:t>Beauty shops and barbers including cosmetology and nail salons</w:t>
      </w:r>
      <w:r w:rsidRPr="006B58AC">
        <w:t>.</w:t>
      </w:r>
    </w:p>
    <w:p w14:paraId="3B11CE9E"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Performance Based Entertainment</w:t>
      </w:r>
    </w:p>
    <w:p w14:paraId="35305C90"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7832, 7911 (except 79110200, 79110202, 79110203, 79110204), 7922, 7929</w:t>
      </w:r>
      <w:r w:rsidRPr="006B58AC">
        <w:t>.</w:t>
      </w:r>
    </w:p>
    <w:p w14:paraId="1B5BE000"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Locations for watching performances.  </w:t>
      </w:r>
      <w:r w:rsidRPr="0012750B">
        <w:rPr>
          <w:rFonts w:eastAsia="Times New Roman"/>
        </w:rPr>
        <w:t>Includes movie theaters, dance studios and theaters, opera production, performing arts centers, entertainment and musical groups</w:t>
      </w:r>
      <w:r w:rsidRPr="006B58AC">
        <w:t>.</w:t>
      </w:r>
    </w:p>
    <w:p w14:paraId="2EAD11C1"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Participatory Entertainment</w:t>
      </w:r>
    </w:p>
    <w:p w14:paraId="408EE3F8"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7933, 7992 or 6 digit SIC code in 799901 (except 79990103), 799902 (except 79990203), 799903, 799904, 799906, 799907, 799908, 799914 (except 79991409, 79991410, 79991411) or 8 digit SIC code in 79999902, 79999903, 79999905, 79999907, 79999909, 79999910, 79999912</w:t>
      </w:r>
      <w:r w:rsidRPr="006B58AC">
        <w:t>.</w:t>
      </w:r>
    </w:p>
    <w:p w14:paraId="44CC662D"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Clubs and sporting and game venues in which the use participates in the activities that typically do not require a membership.  </w:t>
      </w:r>
      <w:r w:rsidRPr="0012750B">
        <w:rPr>
          <w:rFonts w:eastAsia="Times New Roman"/>
        </w:rPr>
        <w:t>Includes bowling centers, golf courses, tennis clubs, indoor court sports, table tennis, billiards, skating rinks, archery and other shooting ranges, card and bingo halls, bath houses, beaches, and recreation centers</w:t>
      </w:r>
      <w:r w:rsidRPr="006B58AC">
        <w:t>.</w:t>
      </w:r>
    </w:p>
    <w:p w14:paraId="7078B851"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Sports and Professional Stadium Entertainment</w:t>
      </w:r>
    </w:p>
    <w:p w14:paraId="6243F1D0"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7941, 7948 or 8 digit SIC code in 79999913</w:t>
      </w:r>
      <w:r w:rsidRPr="006B58AC">
        <w:t>.</w:t>
      </w:r>
    </w:p>
    <w:p w14:paraId="63A0921A"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Sporting venues in which the user watches an event but does not participate.  </w:t>
      </w:r>
      <w:r w:rsidRPr="0012750B">
        <w:rPr>
          <w:rFonts w:eastAsia="Times New Roman"/>
        </w:rPr>
        <w:t>Includes professional sports clubs (ie: baseball, basketball, football, ect), motor vehicle racing, horse racing, and dog racing</w:t>
      </w:r>
      <w:r w:rsidRPr="006B58AC">
        <w:t>.</w:t>
      </w:r>
    </w:p>
    <w:p w14:paraId="2211CB9C"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Exercise Facilities</w:t>
      </w:r>
    </w:p>
    <w:p w14:paraId="1FBCE32F"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7991</w:t>
      </w:r>
      <w:r w:rsidRPr="006B58AC">
        <w:t>.</w:t>
      </w:r>
    </w:p>
    <w:p w14:paraId="2C644ECD"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Exercise facilities w</w:t>
      </w:r>
      <w:r>
        <w:t>h</w:t>
      </w:r>
      <w:r w:rsidRPr="006B58AC">
        <w:t xml:space="preserve">ere the user participates in physical fitness activities in gym or class setting.  </w:t>
      </w:r>
      <w:r w:rsidRPr="0012750B">
        <w:rPr>
          <w:rFonts w:eastAsia="Times New Roman"/>
        </w:rPr>
        <w:t>Includes athletic clubs, spas, and exercise classes</w:t>
      </w:r>
      <w:r w:rsidRPr="006B58AC">
        <w:t>.</w:t>
      </w:r>
    </w:p>
    <w:p w14:paraId="1F2FE850"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Coin-Operated Amusements and Gambling</w:t>
      </w:r>
    </w:p>
    <w:p w14:paraId="0BF016BD"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7993 or 6 digit SIC code in 799913</w:t>
      </w:r>
      <w:r w:rsidRPr="006B58AC">
        <w:t>.</w:t>
      </w:r>
    </w:p>
    <w:p w14:paraId="14A503B0"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w:t>
      </w:r>
      <w:r>
        <w:t>Venues for gambling or other machine-based entertainment</w:t>
      </w:r>
      <w:r w:rsidRPr="006B58AC">
        <w:t xml:space="preserve">.  </w:t>
      </w:r>
      <w:r w:rsidRPr="0012750B">
        <w:rPr>
          <w:rFonts w:eastAsia="Times New Roman"/>
        </w:rPr>
        <w:t>Includes gaming machines, arcades, gambling machines, and gambling and lottery services</w:t>
      </w:r>
      <w:r w:rsidRPr="006B58AC">
        <w:t>.</w:t>
      </w:r>
    </w:p>
    <w:p w14:paraId="198B452A"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Amusement Parks, Carnivals, and Rodeos</w:t>
      </w:r>
    </w:p>
    <w:p w14:paraId="0EE92803"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7996 or 6 digit SIC code in 799909, 799910, 799912 (except 79991201, 79991205) or 8 digit SIC code in 79990000, 79991502, 79991503, 79991504, 79991505, 79991506, 79991508, 79991509, 79991512, 79991513, 79991514, 79991516, 79991604, 79999900, 79999904, 79999917</w:t>
      </w:r>
      <w:r w:rsidRPr="006B58AC">
        <w:t>.</w:t>
      </w:r>
    </w:p>
    <w:p w14:paraId="21B0C712"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Amusement parks and other recreational shows and activities typically not used frequently.  Typically includes places with amusement rides or shows.  </w:t>
      </w:r>
      <w:r w:rsidRPr="0012750B">
        <w:rPr>
          <w:rFonts w:eastAsia="Times New Roman"/>
        </w:rPr>
        <w:lastRenderedPageBreak/>
        <w:t>Includes amusement parks, animal and circus shows, exhibitions, fairs, carnivals, rodeo and riding stables, go carts, scenic trains, waterslides, wave pools, and fireworks</w:t>
      </w:r>
      <w:r w:rsidRPr="006B58AC">
        <w:t>.</w:t>
      </w:r>
    </w:p>
    <w:p w14:paraId="15D1B810"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Membership Sports and Recreational Clubs</w:t>
      </w:r>
    </w:p>
    <w:p w14:paraId="298EEBF8"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7997 or 6 digit SIC code in 869901 or 8 digit SIC code in 86990000, 86999900, 86999906</w:t>
      </w:r>
      <w:r w:rsidRPr="006B58AC">
        <w:t>.</w:t>
      </w:r>
    </w:p>
    <w:p w14:paraId="6AFF5EBC"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Sports and activities clubs that require a membership typically with monetary dues.  </w:t>
      </w:r>
      <w:r w:rsidRPr="0012750B">
        <w:rPr>
          <w:rFonts w:eastAsia="Times New Roman"/>
        </w:rPr>
        <w:t>Includes boating and beach clubs, swimming club, gun clubs, team sports clubs, ice sports clubs, racquet sports clubs, bowling club, golf club, riding club, and other athletic clubs (all require membership)</w:t>
      </w:r>
      <w:r w:rsidRPr="006B58AC">
        <w:t>.</w:t>
      </w:r>
    </w:p>
    <w:p w14:paraId="61E243BD"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Libraries</w:t>
      </w:r>
    </w:p>
    <w:p w14:paraId="404D83A6"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8231</w:t>
      </w:r>
      <w:r w:rsidRPr="006B58AC">
        <w:t>.</w:t>
      </w:r>
    </w:p>
    <w:p w14:paraId="78C056E9"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Libraries and other places for book check out and reading.  </w:t>
      </w:r>
      <w:r w:rsidRPr="0012750B">
        <w:rPr>
          <w:rFonts w:eastAsia="Times New Roman"/>
        </w:rPr>
        <w:t>Includes general and specialized libraries and book rentals</w:t>
      </w:r>
      <w:r w:rsidRPr="006B58AC">
        <w:t>.</w:t>
      </w:r>
    </w:p>
    <w:p w14:paraId="05D32029"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Museums and Art Galleries</w:t>
      </w:r>
    </w:p>
    <w:p w14:paraId="0F856D95"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8412 or 8 digit SIC code in 79999901</w:t>
      </w:r>
      <w:r w:rsidRPr="006B58AC">
        <w:t>.</w:t>
      </w:r>
    </w:p>
    <w:p w14:paraId="0CC9B8CF"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Museums and galleries to observe art, history, science, et</w:t>
      </w:r>
      <w:r>
        <w:t>c</w:t>
      </w:r>
      <w:r w:rsidRPr="006B58AC">
        <w:t xml:space="preserve">.  </w:t>
      </w:r>
      <w:r w:rsidRPr="0012750B">
        <w:rPr>
          <w:rFonts w:eastAsia="Times New Roman"/>
        </w:rPr>
        <w:t>Includes museums, art galleries, historical societies, science centers, and planetarium</w:t>
      </w:r>
      <w:r w:rsidRPr="006B58AC">
        <w:t>.</w:t>
      </w:r>
    </w:p>
    <w:p w14:paraId="31C3A236"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Zoo, Aquarium, and Arboretum</w:t>
      </w:r>
    </w:p>
    <w:p w14:paraId="3932B042"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8422 or 8 digit SIC code in 79991515</w:t>
      </w:r>
      <w:r w:rsidRPr="006B58AC">
        <w:t>.</w:t>
      </w:r>
    </w:p>
    <w:p w14:paraId="68A0A81E"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Zoos, aquariums, e</w:t>
      </w:r>
      <w:r>
        <w:t>t</w:t>
      </w:r>
      <w:r w:rsidRPr="006B58AC">
        <w:t xml:space="preserve">c to observe wildlife or plants.  May not be used on a regular basis.  </w:t>
      </w:r>
      <w:r w:rsidRPr="0012750B">
        <w:rPr>
          <w:rFonts w:eastAsia="Times New Roman"/>
        </w:rPr>
        <w:t>Includes zoos, botanical gardens, aquarium, and arboretum</w:t>
      </w:r>
      <w:r w:rsidRPr="006B58AC">
        <w:t>.</w:t>
      </w:r>
    </w:p>
    <w:p w14:paraId="765E866C"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Civil, Social, and Political Clubs</w:t>
      </w:r>
    </w:p>
    <w:p w14:paraId="2357E348"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8651 or 6 digit SIC code in 864101, 864102, 864105, 864199 or 8 digit SIC code in 86410000, 86410400, 86410402, 86410403, 86990200, 86990202, 86990203, 86999901, 86999902, 86999903, 86999904, 86999905, 86999908, 86999909, 86999910</w:t>
      </w:r>
      <w:r w:rsidRPr="006B58AC">
        <w:t>.</w:t>
      </w:r>
    </w:p>
    <w:p w14:paraId="7DB71958" w14:textId="77777777" w:rsidR="00374973" w:rsidRPr="0012750B"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Political, civil, and social clubs that typically require membership.  </w:t>
      </w:r>
      <w:r w:rsidRPr="0012750B">
        <w:rPr>
          <w:rFonts w:eastAsia="Times New Roman"/>
        </w:rPr>
        <w:t>Includes political organizations, fraternal associations, alumni associations, university clubs, business person club, homeowners associations, booster club, environmental protection club, PTA, charitable organization, travel club, and historical club</w:t>
      </w:r>
      <w:r w:rsidRPr="006B58AC">
        <w:t>.</w:t>
      </w:r>
    </w:p>
    <w:p w14:paraId="74543D27" w14:textId="77777777" w:rsidR="00374973" w:rsidRPr="0012750B" w:rsidRDefault="00374973" w:rsidP="00374973">
      <w:pPr>
        <w:pStyle w:val="ListParagraph"/>
        <w:numPr>
          <w:ilvl w:val="0"/>
          <w:numId w:val="13"/>
        </w:numPr>
        <w:autoSpaceDE w:val="0"/>
        <w:autoSpaceDN w:val="0"/>
        <w:adjustRightInd w:val="0"/>
        <w:spacing w:after="0" w:line="240" w:lineRule="auto"/>
      </w:pPr>
      <w:r w:rsidRPr="0012750B">
        <w:rPr>
          <w:b/>
        </w:rPr>
        <w:t>Religion</w:t>
      </w:r>
    </w:p>
    <w:p w14:paraId="5EBAE87E" w14:textId="77777777" w:rsidR="00374973" w:rsidRDefault="00374973" w:rsidP="00374973">
      <w:pPr>
        <w:pStyle w:val="ListParagraph"/>
        <w:numPr>
          <w:ilvl w:val="1"/>
          <w:numId w:val="13"/>
        </w:numPr>
        <w:autoSpaceDE w:val="0"/>
        <w:autoSpaceDN w:val="0"/>
        <w:adjustRightInd w:val="0"/>
        <w:spacing w:after="120" w:line="240" w:lineRule="auto"/>
      </w:pPr>
      <w:r w:rsidRPr="0012750B">
        <w:rPr>
          <w:i/>
        </w:rPr>
        <w:t xml:space="preserve">Technical definition: </w:t>
      </w:r>
      <w:r w:rsidRPr="006B58AC">
        <w:t xml:space="preserve">Any social engagement destination with 4 digit SIC code </w:t>
      </w:r>
      <w:r w:rsidRPr="0012750B">
        <w:rPr>
          <w:rFonts w:cs="Courier New"/>
          <w:shd w:val="clear" w:color="auto" w:fill="FFFFFF"/>
        </w:rPr>
        <w:t>8661 or 8 digit SIC code in 86990201, 86990204</w:t>
      </w:r>
      <w:r w:rsidRPr="006B58AC">
        <w:t>.</w:t>
      </w:r>
    </w:p>
    <w:p w14:paraId="43761632" w14:textId="77777777" w:rsidR="00374973" w:rsidRPr="00D27243" w:rsidRDefault="00374973" w:rsidP="00374973">
      <w:pPr>
        <w:pStyle w:val="ListParagraph"/>
        <w:numPr>
          <w:ilvl w:val="1"/>
          <w:numId w:val="13"/>
        </w:numPr>
        <w:autoSpaceDE w:val="0"/>
        <w:autoSpaceDN w:val="0"/>
        <w:adjustRightInd w:val="0"/>
        <w:spacing w:after="120" w:line="240" w:lineRule="auto"/>
        <w:rPr>
          <w:b/>
        </w:rPr>
      </w:pPr>
      <w:r w:rsidRPr="0012750B">
        <w:rPr>
          <w:i/>
        </w:rPr>
        <w:t>General description</w:t>
      </w:r>
      <w:r w:rsidRPr="006B58AC">
        <w:t xml:space="preserve">: Religious organizations or other places of worship.  </w:t>
      </w:r>
      <w:r w:rsidRPr="0012750B">
        <w:rPr>
          <w:rFonts w:eastAsia="Times New Roman"/>
        </w:rPr>
        <w:t>Includes churches, temples, synagogue, mosque, and religious reading rooms</w:t>
      </w:r>
      <w:r w:rsidRPr="006B58AC">
        <w:t>.</w:t>
      </w:r>
    </w:p>
    <w:p w14:paraId="243E4FA3" w14:textId="77777777" w:rsidR="00374973" w:rsidRPr="00D27243" w:rsidRDefault="00374973" w:rsidP="00374973">
      <w:pPr>
        <w:pStyle w:val="ListParagraph"/>
        <w:numPr>
          <w:ilvl w:val="0"/>
          <w:numId w:val="13"/>
        </w:numPr>
        <w:autoSpaceDE w:val="0"/>
        <w:autoSpaceDN w:val="0"/>
        <w:adjustRightInd w:val="0"/>
        <w:spacing w:after="120" w:line="240" w:lineRule="auto"/>
        <w:rPr>
          <w:b/>
        </w:rPr>
      </w:pPr>
      <w:r w:rsidRPr="00D27243">
        <w:rPr>
          <w:b/>
        </w:rPr>
        <w:t>Eating and Dining</w:t>
      </w:r>
      <w:r>
        <w:rPr>
          <w:b/>
        </w:rPr>
        <w:t xml:space="preserve"> Places</w:t>
      </w:r>
    </w:p>
    <w:p w14:paraId="0581E108" w14:textId="77777777" w:rsidR="00374973" w:rsidRDefault="00374973" w:rsidP="00374973">
      <w:pPr>
        <w:pStyle w:val="ListParagraph"/>
        <w:numPr>
          <w:ilvl w:val="1"/>
          <w:numId w:val="14"/>
        </w:numPr>
        <w:autoSpaceDE w:val="0"/>
        <w:autoSpaceDN w:val="0"/>
        <w:adjustRightInd w:val="0"/>
        <w:spacing w:after="120" w:line="240" w:lineRule="auto"/>
      </w:pPr>
      <w:r w:rsidRPr="00CB123D">
        <w:rPr>
          <w:i/>
        </w:rPr>
        <w:t xml:space="preserve">Technical definition: </w:t>
      </w:r>
      <w:r w:rsidRPr="006B58AC">
        <w:t xml:space="preserve">Any social engagement destination with 4 digit SIC code </w:t>
      </w:r>
      <w:r w:rsidRPr="00CB123D">
        <w:rPr>
          <w:rFonts w:cs="Courier New"/>
          <w:shd w:val="clear" w:color="auto" w:fill="FFFFFF"/>
        </w:rPr>
        <w:t>5812 or on fast food chain name list as described in the Food Stores section</w:t>
      </w:r>
      <w:r w:rsidRPr="006B58AC">
        <w:t>.</w:t>
      </w:r>
    </w:p>
    <w:p w14:paraId="62A2A7F3" w14:textId="77777777" w:rsidR="00374973" w:rsidRPr="00D27243" w:rsidRDefault="00374973" w:rsidP="00374973">
      <w:pPr>
        <w:pStyle w:val="ListParagraph"/>
        <w:numPr>
          <w:ilvl w:val="1"/>
          <w:numId w:val="14"/>
        </w:numPr>
        <w:autoSpaceDE w:val="0"/>
        <w:autoSpaceDN w:val="0"/>
        <w:adjustRightInd w:val="0"/>
        <w:spacing w:after="120" w:line="240" w:lineRule="auto"/>
        <w:rPr>
          <w:b/>
        </w:rPr>
      </w:pPr>
      <w:r w:rsidRPr="00CB123D">
        <w:rPr>
          <w:i/>
        </w:rPr>
        <w:t>General description</w:t>
      </w:r>
      <w:r w:rsidRPr="006B58AC">
        <w:t xml:space="preserve">: </w:t>
      </w:r>
      <w:r w:rsidRPr="00CB123D">
        <w:rPr>
          <w:rFonts w:eastAsia="Times New Roman"/>
        </w:rPr>
        <w:t>Food stores designed for dining out and consumption on site</w:t>
      </w:r>
      <w:r>
        <w:t>.</w:t>
      </w:r>
    </w:p>
    <w:p w14:paraId="15121063" w14:textId="77777777" w:rsidR="00374973" w:rsidRPr="00D27243" w:rsidRDefault="00374973" w:rsidP="00374973">
      <w:pPr>
        <w:pStyle w:val="ListParagraph"/>
        <w:numPr>
          <w:ilvl w:val="0"/>
          <w:numId w:val="13"/>
        </w:numPr>
        <w:autoSpaceDE w:val="0"/>
        <w:autoSpaceDN w:val="0"/>
        <w:adjustRightInd w:val="0"/>
        <w:spacing w:after="120" w:line="240" w:lineRule="auto"/>
        <w:rPr>
          <w:b/>
        </w:rPr>
      </w:pPr>
      <w:r w:rsidRPr="00D27243">
        <w:rPr>
          <w:b/>
        </w:rPr>
        <w:t>Night Clubs and Bars</w:t>
      </w:r>
    </w:p>
    <w:p w14:paraId="710B6A26" w14:textId="77777777" w:rsidR="00374973" w:rsidRDefault="00374973" w:rsidP="00374973">
      <w:pPr>
        <w:pStyle w:val="ListParagraph"/>
        <w:numPr>
          <w:ilvl w:val="1"/>
          <w:numId w:val="13"/>
        </w:numPr>
        <w:autoSpaceDE w:val="0"/>
        <w:autoSpaceDN w:val="0"/>
        <w:adjustRightInd w:val="0"/>
        <w:spacing w:after="120" w:line="240" w:lineRule="auto"/>
      </w:pPr>
      <w:r w:rsidRPr="00D27243">
        <w:rPr>
          <w:i/>
        </w:rPr>
        <w:t xml:space="preserve">Technical definition: </w:t>
      </w:r>
      <w:r w:rsidRPr="006B58AC">
        <w:t xml:space="preserve">Any social engagement destination with 4 digit SIC code </w:t>
      </w:r>
      <w:r w:rsidRPr="00D27243">
        <w:rPr>
          <w:rFonts w:cs="Courier New"/>
          <w:shd w:val="clear" w:color="auto" w:fill="FFFFFF"/>
        </w:rPr>
        <w:t>5813 or 8 digit SIC code in 79999918, 86410401</w:t>
      </w:r>
      <w:r w:rsidRPr="006B58AC">
        <w:t>.</w:t>
      </w:r>
    </w:p>
    <w:p w14:paraId="5DF418E2" w14:textId="379A75E9" w:rsidR="00374973" w:rsidRDefault="00374973" w:rsidP="00374973">
      <w:pPr>
        <w:pStyle w:val="ListParagraph"/>
        <w:numPr>
          <w:ilvl w:val="1"/>
          <w:numId w:val="13"/>
        </w:numPr>
        <w:autoSpaceDE w:val="0"/>
        <w:autoSpaceDN w:val="0"/>
        <w:adjustRightInd w:val="0"/>
        <w:spacing w:after="120" w:line="240" w:lineRule="auto"/>
      </w:pPr>
      <w:r w:rsidRPr="00D27243">
        <w:rPr>
          <w:i/>
        </w:rPr>
        <w:t>General description</w:t>
      </w:r>
      <w:r w:rsidRPr="006B58AC">
        <w:t xml:space="preserve">: </w:t>
      </w:r>
      <w:r w:rsidRPr="00D27243">
        <w:rPr>
          <w:rFonts w:eastAsia="Times New Roman"/>
        </w:rPr>
        <w:t>Night clubs, dance halls, and bars</w:t>
      </w:r>
      <w:r w:rsidRPr="006B58AC">
        <w:t>.  May or may not serve alcohol.</w:t>
      </w:r>
      <w:r>
        <w:t xml:space="preserve"> </w:t>
      </w:r>
      <w:r w:rsidRPr="00FA7C0B">
        <w:t xml:space="preserve">These categories were then </w:t>
      </w:r>
      <w:r>
        <w:t>also summed together for a total social engagement destination environment.</w:t>
      </w:r>
    </w:p>
    <w:p w14:paraId="786B7149" w14:textId="77777777" w:rsidR="00374973" w:rsidRDefault="00374973" w:rsidP="00374973"/>
    <w:p w14:paraId="38A1D41D" w14:textId="1D064770" w:rsidR="00374973" w:rsidRDefault="00374973" w:rsidP="00374973">
      <w:r>
        <w:t>There is also an overall social engagement destinations variable which sums together all of the above categories which is the recommended measure to use.</w:t>
      </w:r>
    </w:p>
    <w:p w14:paraId="4D52B92E" w14:textId="77777777" w:rsidR="0093307D" w:rsidRDefault="0093307D" w:rsidP="004E3A40">
      <w:pPr>
        <w:pStyle w:val="NoSpacing"/>
        <w:rPr>
          <w:rFonts w:cstheme="minorHAnsi"/>
          <w:highlight w:val="yellow"/>
        </w:rPr>
      </w:pPr>
    </w:p>
    <w:p w14:paraId="599F1B6D" w14:textId="0DBBF6AA" w:rsidR="006C197C" w:rsidRPr="00F171D0" w:rsidRDefault="006C197C" w:rsidP="006C197C">
      <w:pPr>
        <w:pStyle w:val="Heading3"/>
      </w:pPr>
      <w:r>
        <w:t>Popular Walking Destinations</w:t>
      </w:r>
    </w:p>
    <w:p w14:paraId="47EC09AD" w14:textId="6A2C36F5" w:rsidR="006C197C" w:rsidRDefault="006C197C" w:rsidP="006C197C">
      <w:r>
        <w:t>The popular walking data consists of places which promote walking.  SIC codes were selected based on previous work by Christine Hoehner</w:t>
      </w:r>
      <w:r>
        <w:rPr>
          <w:rStyle w:val="FootnoteReference"/>
        </w:rPr>
        <w:footnoteReference w:id="10"/>
      </w:r>
      <w:r>
        <w:t>.</w:t>
      </w:r>
      <w:r w:rsidR="00F77F1E">
        <w:t xml:space="preserve"> A total of 137 SIC codes were purchased as popular walking destinations. For non-food based SIC codes, establishments that are listed as headquarters are included as popular walking destinations.  This is different from the food stores data where they are excluded.  For the non-food based, they are included because it was felt that there are fewer chains where they would have just an administrative head that didn’t offer any services as opposed to the food stores where there are many more chains where the headquarters represent just an administrative head without services.  There will be some locations that don’t actually offer any services but this will be a small minority of the locations.  Less than 2% of the locations at each year 2000-2010 are considered headquarters.</w:t>
      </w:r>
    </w:p>
    <w:p w14:paraId="25C861A6" w14:textId="5FA2C246" w:rsidR="006C197C" w:rsidRDefault="006C197C" w:rsidP="006C197C">
      <w:r>
        <w:t xml:space="preserve">The popular walking destinations are categorized into 6 categories as follows (note that not all separate categories are included in the dataset – only those that </w:t>
      </w:r>
      <w:r w:rsidR="00F77F1E">
        <w:t>are commonly used are included).</w:t>
      </w:r>
    </w:p>
    <w:p w14:paraId="1356F593" w14:textId="77777777" w:rsidR="006C197C" w:rsidRPr="000E527C" w:rsidRDefault="006C197C" w:rsidP="006C197C">
      <w:pPr>
        <w:pStyle w:val="ListParagraph"/>
        <w:numPr>
          <w:ilvl w:val="0"/>
          <w:numId w:val="15"/>
        </w:numPr>
        <w:autoSpaceDE w:val="0"/>
        <w:autoSpaceDN w:val="0"/>
        <w:adjustRightInd w:val="0"/>
        <w:spacing w:after="0" w:line="240" w:lineRule="auto"/>
      </w:pPr>
      <w:r w:rsidRPr="000E527C">
        <w:rPr>
          <w:b/>
        </w:rPr>
        <w:t>Postal Service</w:t>
      </w:r>
    </w:p>
    <w:p w14:paraId="0A17BAD5" w14:textId="77777777" w:rsidR="006C197C" w:rsidRDefault="006C197C" w:rsidP="006C197C">
      <w:pPr>
        <w:pStyle w:val="ListParagraph"/>
        <w:numPr>
          <w:ilvl w:val="1"/>
          <w:numId w:val="15"/>
        </w:numPr>
        <w:autoSpaceDE w:val="0"/>
        <w:autoSpaceDN w:val="0"/>
        <w:adjustRightInd w:val="0"/>
        <w:spacing w:after="120" w:line="240" w:lineRule="auto"/>
      </w:pPr>
      <w:r w:rsidRPr="000E527C">
        <w:rPr>
          <w:i/>
        </w:rPr>
        <w:t xml:space="preserve">Technical definition: </w:t>
      </w:r>
      <w:r w:rsidRPr="00AF1B92">
        <w:t xml:space="preserve">Any walking destination with 4 digit SIC code </w:t>
      </w:r>
      <w:r w:rsidRPr="000E527C">
        <w:rPr>
          <w:rFonts w:cs="Courier New"/>
          <w:shd w:val="clear" w:color="auto" w:fill="FFFFFF"/>
        </w:rPr>
        <w:t>4311</w:t>
      </w:r>
      <w:r w:rsidRPr="00AF1B92">
        <w:t>.</w:t>
      </w:r>
    </w:p>
    <w:p w14:paraId="4B673A38" w14:textId="77777777" w:rsidR="006C197C" w:rsidRPr="000E527C" w:rsidRDefault="006C197C" w:rsidP="006C197C">
      <w:pPr>
        <w:pStyle w:val="ListParagraph"/>
        <w:numPr>
          <w:ilvl w:val="1"/>
          <w:numId w:val="15"/>
        </w:numPr>
        <w:autoSpaceDE w:val="0"/>
        <w:autoSpaceDN w:val="0"/>
        <w:adjustRightInd w:val="0"/>
        <w:spacing w:after="120" w:line="240" w:lineRule="auto"/>
        <w:rPr>
          <w:b/>
        </w:rPr>
      </w:pPr>
      <w:r w:rsidRPr="000E527C">
        <w:rPr>
          <w:i/>
        </w:rPr>
        <w:t>General description</w:t>
      </w:r>
      <w:r w:rsidRPr="00AF1B92">
        <w:t xml:space="preserve">: </w:t>
      </w:r>
      <w:r w:rsidRPr="000E527C">
        <w:rPr>
          <w:rFonts w:eastAsia="Times New Roman"/>
        </w:rPr>
        <w:t>Post offices and other postal services</w:t>
      </w:r>
      <w:r w:rsidRPr="00AF1B92">
        <w:t>.</w:t>
      </w:r>
    </w:p>
    <w:p w14:paraId="52316310" w14:textId="77777777" w:rsidR="006C197C" w:rsidRPr="000E527C" w:rsidRDefault="006C197C" w:rsidP="006C197C">
      <w:pPr>
        <w:pStyle w:val="ListParagraph"/>
        <w:numPr>
          <w:ilvl w:val="0"/>
          <w:numId w:val="15"/>
        </w:numPr>
        <w:autoSpaceDE w:val="0"/>
        <w:autoSpaceDN w:val="0"/>
        <w:adjustRightInd w:val="0"/>
        <w:spacing w:after="0" w:line="240" w:lineRule="auto"/>
      </w:pPr>
      <w:r w:rsidRPr="000E527C">
        <w:rPr>
          <w:b/>
        </w:rPr>
        <w:t>Drug Stores and Pharmacy</w:t>
      </w:r>
    </w:p>
    <w:p w14:paraId="4BB24C28" w14:textId="77777777" w:rsidR="006C197C" w:rsidRDefault="006C197C" w:rsidP="006C197C">
      <w:pPr>
        <w:pStyle w:val="ListParagraph"/>
        <w:numPr>
          <w:ilvl w:val="1"/>
          <w:numId w:val="15"/>
        </w:numPr>
        <w:autoSpaceDE w:val="0"/>
        <w:autoSpaceDN w:val="0"/>
        <w:adjustRightInd w:val="0"/>
        <w:spacing w:after="120" w:line="240" w:lineRule="auto"/>
      </w:pPr>
      <w:r w:rsidRPr="000E527C">
        <w:rPr>
          <w:i/>
        </w:rPr>
        <w:t xml:space="preserve">Technical definition: </w:t>
      </w:r>
      <w:r w:rsidRPr="00AF1B92">
        <w:t xml:space="preserve">Any walking destination with 4 digit SIC code </w:t>
      </w:r>
      <w:r w:rsidRPr="000E527C">
        <w:rPr>
          <w:rFonts w:cs="Courier New"/>
          <w:shd w:val="clear" w:color="auto" w:fill="FFFFFF"/>
        </w:rPr>
        <w:t>5912</w:t>
      </w:r>
      <w:r w:rsidRPr="00AF1B92">
        <w:t>.</w:t>
      </w:r>
    </w:p>
    <w:p w14:paraId="1220713A" w14:textId="77777777" w:rsidR="006C197C" w:rsidRPr="000E527C" w:rsidRDefault="006C197C" w:rsidP="006C197C">
      <w:pPr>
        <w:pStyle w:val="ListParagraph"/>
        <w:numPr>
          <w:ilvl w:val="1"/>
          <w:numId w:val="15"/>
        </w:numPr>
        <w:autoSpaceDE w:val="0"/>
        <w:autoSpaceDN w:val="0"/>
        <w:adjustRightInd w:val="0"/>
        <w:spacing w:after="120" w:line="240" w:lineRule="auto"/>
        <w:rPr>
          <w:b/>
        </w:rPr>
      </w:pPr>
      <w:r w:rsidRPr="000E527C">
        <w:rPr>
          <w:i/>
        </w:rPr>
        <w:t>General description</w:t>
      </w:r>
      <w:r w:rsidRPr="00AF1B92">
        <w:t xml:space="preserve">: </w:t>
      </w:r>
      <w:r w:rsidRPr="000E527C">
        <w:rPr>
          <w:rFonts w:eastAsia="Times New Roman"/>
        </w:rPr>
        <w:t>Drug stores and pharmacies</w:t>
      </w:r>
      <w:r w:rsidRPr="00AF1B92">
        <w:t>.  Does not include those that are also supermarkets.</w:t>
      </w:r>
    </w:p>
    <w:p w14:paraId="01A4779F" w14:textId="77777777" w:rsidR="006C197C" w:rsidRPr="000E527C" w:rsidRDefault="006C197C" w:rsidP="006C197C">
      <w:pPr>
        <w:pStyle w:val="ListParagraph"/>
        <w:numPr>
          <w:ilvl w:val="0"/>
          <w:numId w:val="15"/>
        </w:numPr>
        <w:autoSpaceDE w:val="0"/>
        <w:autoSpaceDN w:val="0"/>
        <w:adjustRightInd w:val="0"/>
        <w:spacing w:after="0" w:line="240" w:lineRule="auto"/>
      </w:pPr>
      <w:r w:rsidRPr="000E527C">
        <w:rPr>
          <w:b/>
        </w:rPr>
        <w:t>Banks and Credit Unions</w:t>
      </w:r>
    </w:p>
    <w:p w14:paraId="1D8DAF0F" w14:textId="77777777" w:rsidR="006C197C" w:rsidRDefault="006C197C" w:rsidP="006C197C">
      <w:pPr>
        <w:pStyle w:val="ListParagraph"/>
        <w:numPr>
          <w:ilvl w:val="1"/>
          <w:numId w:val="15"/>
        </w:numPr>
        <w:autoSpaceDE w:val="0"/>
        <w:autoSpaceDN w:val="0"/>
        <w:adjustRightInd w:val="0"/>
        <w:spacing w:after="120" w:line="240" w:lineRule="auto"/>
      </w:pPr>
      <w:r w:rsidRPr="000E527C">
        <w:rPr>
          <w:i/>
        </w:rPr>
        <w:t xml:space="preserve">Technical definition: </w:t>
      </w:r>
      <w:r w:rsidRPr="00AF1B92">
        <w:t xml:space="preserve">Any walking destination with 4 digit SIC code </w:t>
      </w:r>
      <w:r w:rsidRPr="000E527C">
        <w:rPr>
          <w:rFonts w:cs="Courier New"/>
          <w:shd w:val="clear" w:color="auto" w:fill="FFFFFF"/>
        </w:rPr>
        <w:t>6021, 6022, 6029, 6035, 6036, 6061, 6062</w:t>
      </w:r>
      <w:r w:rsidRPr="00AF1B92">
        <w:t>.</w:t>
      </w:r>
    </w:p>
    <w:p w14:paraId="5F8190F0" w14:textId="77777777" w:rsidR="006C197C" w:rsidRDefault="006C197C" w:rsidP="006C197C">
      <w:pPr>
        <w:pStyle w:val="ListParagraph"/>
        <w:numPr>
          <w:ilvl w:val="1"/>
          <w:numId w:val="15"/>
        </w:numPr>
        <w:autoSpaceDE w:val="0"/>
        <w:autoSpaceDN w:val="0"/>
        <w:adjustRightInd w:val="0"/>
        <w:spacing w:after="0" w:line="240" w:lineRule="auto"/>
      </w:pPr>
      <w:r w:rsidRPr="002E3AC4">
        <w:rPr>
          <w:i/>
        </w:rPr>
        <w:t>General description</w:t>
      </w:r>
      <w:r w:rsidRPr="00AF1B92">
        <w:t xml:space="preserve">: </w:t>
      </w:r>
      <w:r w:rsidRPr="002E3AC4">
        <w:rPr>
          <w:rFonts w:eastAsia="Times New Roman"/>
        </w:rPr>
        <w:t>Banks and credit unions including private banks and federal and state credit unions</w:t>
      </w:r>
      <w:r w:rsidRPr="00AF1B92">
        <w:t>.</w:t>
      </w:r>
    </w:p>
    <w:p w14:paraId="08A23F44" w14:textId="77777777" w:rsidR="006C197C" w:rsidRPr="002C6818" w:rsidRDefault="006C197C" w:rsidP="006C197C">
      <w:pPr>
        <w:pStyle w:val="ListParagraph"/>
        <w:numPr>
          <w:ilvl w:val="0"/>
          <w:numId w:val="15"/>
        </w:numPr>
        <w:autoSpaceDE w:val="0"/>
        <w:autoSpaceDN w:val="0"/>
        <w:adjustRightInd w:val="0"/>
        <w:spacing w:after="0" w:line="240" w:lineRule="auto"/>
      </w:pPr>
      <w:r w:rsidRPr="002E3AC4">
        <w:rPr>
          <w:b/>
        </w:rPr>
        <w:t>Food Stores Non-Beverage</w:t>
      </w:r>
    </w:p>
    <w:p w14:paraId="5361B712" w14:textId="77777777" w:rsidR="006C197C" w:rsidRDefault="006C197C" w:rsidP="006C197C">
      <w:pPr>
        <w:pStyle w:val="ListParagraph"/>
        <w:numPr>
          <w:ilvl w:val="1"/>
          <w:numId w:val="15"/>
        </w:numPr>
        <w:autoSpaceDE w:val="0"/>
        <w:autoSpaceDN w:val="0"/>
        <w:adjustRightInd w:val="0"/>
        <w:spacing w:after="120" w:line="240" w:lineRule="auto"/>
      </w:pPr>
      <w:r w:rsidRPr="002C6818">
        <w:rPr>
          <w:i/>
        </w:rPr>
        <w:t xml:space="preserve">Technical definition: </w:t>
      </w:r>
      <w:r w:rsidRPr="00AF1B92">
        <w:t xml:space="preserve">Any walking destination with 4 digit SIC code </w:t>
      </w:r>
      <w:r w:rsidRPr="002C6818">
        <w:rPr>
          <w:rFonts w:cs="Courier New"/>
          <w:shd w:val="clear" w:color="auto" w:fill="FFFFFF"/>
        </w:rPr>
        <w:t>5411, 5421, 5431, 5441, 5451, 5461, 5499 (except 549902) or 8 digit SIC code 86999907 or on supermarket chain name list as described in the Food Stores section</w:t>
      </w:r>
      <w:r w:rsidRPr="00AF1B92">
        <w:t xml:space="preserve">. </w:t>
      </w:r>
    </w:p>
    <w:p w14:paraId="66B8FD30" w14:textId="77777777" w:rsidR="006C197C" w:rsidRPr="002C6818" w:rsidRDefault="006C197C" w:rsidP="006C197C">
      <w:pPr>
        <w:pStyle w:val="ListParagraph"/>
        <w:numPr>
          <w:ilvl w:val="1"/>
          <w:numId w:val="15"/>
        </w:numPr>
        <w:autoSpaceDE w:val="0"/>
        <w:autoSpaceDN w:val="0"/>
        <w:adjustRightInd w:val="0"/>
        <w:spacing w:after="120" w:line="240" w:lineRule="auto"/>
        <w:rPr>
          <w:b/>
        </w:rPr>
      </w:pPr>
      <w:r w:rsidRPr="002C6818">
        <w:rPr>
          <w:i/>
        </w:rPr>
        <w:t>General description</w:t>
      </w:r>
      <w:r w:rsidRPr="00AF1B92">
        <w:t xml:space="preserve">: </w:t>
      </w:r>
      <w:r w:rsidRPr="002C6818">
        <w:rPr>
          <w:rFonts w:eastAsia="Times New Roman"/>
        </w:rPr>
        <w:t>Food stores designed for grocery shopping including supermarkets, grocers, convenience stores, delis, food co-ops, ect</w:t>
      </w:r>
      <w:r w:rsidRPr="00AF1B92">
        <w:t>.  Excludes any stores used only for purchases of beverages.</w:t>
      </w:r>
    </w:p>
    <w:p w14:paraId="61D5F77F" w14:textId="77777777" w:rsidR="006C197C" w:rsidRPr="002C6818" w:rsidRDefault="006C197C" w:rsidP="006C197C">
      <w:pPr>
        <w:pStyle w:val="ListParagraph"/>
        <w:numPr>
          <w:ilvl w:val="0"/>
          <w:numId w:val="15"/>
        </w:numPr>
        <w:autoSpaceDE w:val="0"/>
        <w:autoSpaceDN w:val="0"/>
        <w:adjustRightInd w:val="0"/>
        <w:spacing w:after="0" w:line="240" w:lineRule="auto"/>
      </w:pPr>
      <w:r w:rsidRPr="002C6818">
        <w:rPr>
          <w:b/>
        </w:rPr>
        <w:t>Eating and Dining Places Non-Beverage</w:t>
      </w:r>
    </w:p>
    <w:p w14:paraId="6884B3E7" w14:textId="77777777" w:rsidR="006C197C" w:rsidRDefault="006C197C" w:rsidP="006C197C">
      <w:pPr>
        <w:pStyle w:val="ListParagraph"/>
        <w:numPr>
          <w:ilvl w:val="1"/>
          <w:numId w:val="15"/>
        </w:numPr>
        <w:autoSpaceDE w:val="0"/>
        <w:autoSpaceDN w:val="0"/>
        <w:adjustRightInd w:val="0"/>
        <w:spacing w:after="120" w:line="240" w:lineRule="auto"/>
      </w:pPr>
      <w:r w:rsidRPr="002C6818">
        <w:rPr>
          <w:i/>
        </w:rPr>
        <w:lastRenderedPageBreak/>
        <w:t xml:space="preserve">Technical definition: </w:t>
      </w:r>
      <w:r w:rsidRPr="00AF1B92">
        <w:t xml:space="preserve">Any walking destination with 4 digit SIC code </w:t>
      </w:r>
      <w:r w:rsidRPr="002C6818">
        <w:rPr>
          <w:rFonts w:cs="Courier New"/>
          <w:shd w:val="clear" w:color="auto" w:fill="FFFFFF"/>
        </w:rPr>
        <w:t xml:space="preserve">5812 (except </w:t>
      </w:r>
      <w:r w:rsidRPr="00AF1B92">
        <w:t>58120205, 58120206, 58120304)</w:t>
      </w:r>
      <w:r w:rsidRPr="002C6818">
        <w:rPr>
          <w:rFonts w:cs="Courier New"/>
          <w:shd w:val="clear" w:color="auto" w:fill="FFFFFF"/>
        </w:rPr>
        <w:t xml:space="preserve"> or on fast food chain name list as described in the Food Stores section</w:t>
      </w:r>
      <w:r w:rsidRPr="00AF1B92">
        <w:t>.</w:t>
      </w:r>
    </w:p>
    <w:p w14:paraId="45F68CEB" w14:textId="77777777" w:rsidR="006C197C" w:rsidRPr="002C6818" w:rsidRDefault="006C197C" w:rsidP="006C197C">
      <w:pPr>
        <w:pStyle w:val="ListParagraph"/>
        <w:numPr>
          <w:ilvl w:val="1"/>
          <w:numId w:val="15"/>
        </w:numPr>
        <w:autoSpaceDE w:val="0"/>
        <w:autoSpaceDN w:val="0"/>
        <w:adjustRightInd w:val="0"/>
        <w:spacing w:after="120" w:line="240" w:lineRule="auto"/>
        <w:rPr>
          <w:b/>
        </w:rPr>
      </w:pPr>
      <w:r w:rsidRPr="002C6818">
        <w:rPr>
          <w:i/>
        </w:rPr>
        <w:t>General description</w:t>
      </w:r>
      <w:r w:rsidRPr="00AF1B92">
        <w:t xml:space="preserve">: </w:t>
      </w:r>
      <w:r w:rsidRPr="002C6818">
        <w:rPr>
          <w:rFonts w:eastAsia="Times New Roman"/>
        </w:rPr>
        <w:t>Food stores designed for dining out and consumption on site</w:t>
      </w:r>
      <w:r w:rsidRPr="00AF1B92">
        <w:t>.  Excludes any stores used only for purchases of beverages including coffee.</w:t>
      </w:r>
    </w:p>
    <w:p w14:paraId="1E88F1B5" w14:textId="77777777" w:rsidR="006C197C" w:rsidRPr="002C6818" w:rsidRDefault="006C197C" w:rsidP="006C197C">
      <w:pPr>
        <w:pStyle w:val="ListParagraph"/>
        <w:numPr>
          <w:ilvl w:val="0"/>
          <w:numId w:val="15"/>
        </w:numPr>
        <w:autoSpaceDE w:val="0"/>
        <w:autoSpaceDN w:val="0"/>
        <w:adjustRightInd w:val="0"/>
        <w:spacing w:after="0" w:line="240" w:lineRule="auto"/>
        <w:rPr>
          <w:rFonts w:ascii="Courier New" w:hAnsi="Courier New" w:cs="Courier New"/>
          <w:sz w:val="20"/>
          <w:szCs w:val="20"/>
          <w:shd w:val="clear" w:color="auto" w:fill="FFFFFF"/>
        </w:rPr>
      </w:pPr>
      <w:r w:rsidRPr="002C6818">
        <w:rPr>
          <w:b/>
        </w:rPr>
        <w:t>Drinking Places Non-Alcoholic</w:t>
      </w:r>
    </w:p>
    <w:p w14:paraId="06AD7A89" w14:textId="77777777" w:rsidR="006C197C" w:rsidRPr="002C6818" w:rsidRDefault="006C197C" w:rsidP="006C197C">
      <w:pPr>
        <w:pStyle w:val="ListParagraph"/>
        <w:numPr>
          <w:ilvl w:val="1"/>
          <w:numId w:val="15"/>
        </w:numPr>
        <w:autoSpaceDE w:val="0"/>
        <w:autoSpaceDN w:val="0"/>
        <w:adjustRightInd w:val="0"/>
        <w:spacing w:after="120" w:line="240" w:lineRule="auto"/>
      </w:pPr>
      <w:r w:rsidRPr="002C6818">
        <w:rPr>
          <w:i/>
        </w:rPr>
        <w:t xml:space="preserve">Technical definition: </w:t>
      </w:r>
      <w:r w:rsidRPr="00AF1B92">
        <w:t xml:space="preserve">Any walking destination with SIC code </w:t>
      </w:r>
      <w:r w:rsidRPr="002C6818">
        <w:rPr>
          <w:rFonts w:cs="Courier New"/>
          <w:shd w:val="clear" w:color="auto" w:fill="FFFFFF"/>
        </w:rPr>
        <w:t>54990200, 54990201, 54990202, 54990203, 54990204, 54990205, 58120205, 58120206, 58120304.  Note that this is the same definition as the drinking places non-alcoholic in food stores coding.</w:t>
      </w:r>
    </w:p>
    <w:p w14:paraId="48427BB6" w14:textId="77777777" w:rsidR="006C197C" w:rsidRDefault="006C197C" w:rsidP="006C197C">
      <w:pPr>
        <w:pStyle w:val="ListParagraph"/>
        <w:numPr>
          <w:ilvl w:val="1"/>
          <w:numId w:val="15"/>
        </w:numPr>
        <w:autoSpaceDE w:val="0"/>
        <w:autoSpaceDN w:val="0"/>
        <w:adjustRightInd w:val="0"/>
        <w:spacing w:after="120" w:line="240" w:lineRule="auto"/>
      </w:pPr>
      <w:r w:rsidRPr="002C6818">
        <w:rPr>
          <w:i/>
        </w:rPr>
        <w:t>General description</w:t>
      </w:r>
      <w:r w:rsidRPr="0007532A">
        <w:t xml:space="preserve">: </w:t>
      </w:r>
      <w:r w:rsidRPr="003B193D">
        <w:t>Food stores that sell coffee, smoothies, juices, and tea for consumption on site</w:t>
      </w:r>
      <w:r>
        <w:t>.</w:t>
      </w:r>
    </w:p>
    <w:p w14:paraId="6B2824A4" w14:textId="77777777" w:rsidR="006C197C" w:rsidRDefault="006C197C" w:rsidP="006C197C"/>
    <w:p w14:paraId="3A107E41" w14:textId="7E129438" w:rsidR="006C197C" w:rsidRDefault="006C197C" w:rsidP="006C197C">
      <w:r>
        <w:t>There is also an overall popular walking destinations variable which sums together all of the above categories which is the recommended variable to use.</w:t>
      </w:r>
    </w:p>
    <w:p w14:paraId="76BA06AD" w14:textId="77777777" w:rsidR="006C197C" w:rsidRDefault="006C197C" w:rsidP="004E3A40">
      <w:pPr>
        <w:pStyle w:val="NoSpacing"/>
        <w:rPr>
          <w:rFonts w:cstheme="minorHAnsi"/>
          <w:highlight w:val="yellow"/>
        </w:rPr>
      </w:pPr>
    </w:p>
    <w:p w14:paraId="0E7C3026" w14:textId="2E5CFDC7" w:rsidR="00AB585A" w:rsidRPr="00F171D0" w:rsidRDefault="00AB585A" w:rsidP="00AB585A">
      <w:pPr>
        <w:pStyle w:val="Heading3"/>
      </w:pPr>
      <w:r>
        <w:t>Total Stores</w:t>
      </w:r>
    </w:p>
    <w:p w14:paraId="0D6D9D89" w14:textId="4B8583C3" w:rsidR="00AB585A" w:rsidRPr="00517472" w:rsidRDefault="00AB585A" w:rsidP="00AB585A">
      <w:pPr>
        <w:pStyle w:val="NoSpacing"/>
        <w:rPr>
          <w:rFonts w:cstheme="minorHAnsi"/>
          <w:highlight w:val="yellow"/>
        </w:rPr>
      </w:pPr>
      <w:r>
        <w:t>A measure is also created combining all of the coding above into a total stores measure.  Since it was determined that this was needed after the densities were created, it was created by adding together the already calculated densities.  Due to the overlap in SIC codes being in both social engagement and walking destinations with food stores and recreational coding, the densities selected to be added together captured the most stores possible.  This mainly leads to including the social engagement and walking destinations densities.  This covers all of the food stores coding but for recreational coding, there are some SIC codes that were left out due to the inconsistencies in how these were coded.  An additional density with these SIC codes was created and was added with the other densities for the total stores density.</w:t>
      </w:r>
    </w:p>
    <w:p w14:paraId="71694B2A" w14:textId="77777777" w:rsidR="00AB585A" w:rsidRDefault="00AB585A" w:rsidP="005D54B5">
      <w:pPr>
        <w:pStyle w:val="Heading2"/>
        <w:rPr>
          <w:highlight w:val="yellow"/>
        </w:rPr>
      </w:pPr>
    </w:p>
    <w:p w14:paraId="24E2FAC1" w14:textId="0388D41F" w:rsidR="00B32C93" w:rsidRPr="00AB585A" w:rsidRDefault="00AB585A" w:rsidP="005D54B5">
      <w:pPr>
        <w:pStyle w:val="Heading2"/>
      </w:pPr>
      <w:r w:rsidRPr="00AB585A">
        <w:t>Street Connectivity</w:t>
      </w:r>
    </w:p>
    <w:p w14:paraId="6A772B09" w14:textId="5A8F1F35" w:rsidR="00AB585A" w:rsidRDefault="00AB585A" w:rsidP="00AB585A">
      <w:r>
        <w:t>All network and street calculations were performed using streets from Street Map 03 to represent year 2000 and from StreetMap Premium 2012 for year 2010 which is available for the entire US.</w:t>
      </w:r>
    </w:p>
    <w:p w14:paraId="78BAF5B2" w14:textId="4FF72389" w:rsidR="00AB585A" w:rsidRDefault="00AB585A" w:rsidP="00AB585A">
      <w:r>
        <w:t>Intersection count is used as a measure of how connected the streets are. A higher intersection count (or intersection density) means higher connections between streets and easier to get to places (more travel options). For this, “dangle points” (cul-de-sacs) were removed and then the number of intersections was counted within each buffer size of ¼, ½, and 1 mile.</w:t>
      </w:r>
    </w:p>
    <w:p w14:paraId="3770B06A" w14:textId="77777777" w:rsidR="00AB585A" w:rsidRPr="004B0DD0" w:rsidRDefault="00AB585A" w:rsidP="00AB585A">
      <w:r w:rsidRPr="004B0DD0">
        <w:t>Intersection density was created for each buffer by the following formula:</w:t>
      </w:r>
    </w:p>
    <w:p w14:paraId="792CAAFF" w14:textId="77777777" w:rsidR="00AB585A" w:rsidRPr="004B0DD0" w:rsidRDefault="00AB585A" w:rsidP="00AB585A">
      <w:r w:rsidRPr="004B0DD0">
        <w:tab/>
        <w:t>Intersection density = intersection count/total area in hectares</w:t>
      </w:r>
    </w:p>
    <w:p w14:paraId="41A8E655" w14:textId="77777777" w:rsidR="00AB585A" w:rsidRDefault="00AB585A" w:rsidP="00AB585A">
      <w:r w:rsidRPr="004B0DD0">
        <w:t>The unit of measure</w:t>
      </w:r>
      <w:r>
        <w:t xml:space="preserve"> is intersections per hectare.</w:t>
      </w:r>
    </w:p>
    <w:p w14:paraId="13778006" w14:textId="20FB0F85" w:rsidR="00AB585A" w:rsidRDefault="00AB585A" w:rsidP="00AB585A">
      <w:r>
        <w:lastRenderedPageBreak/>
        <w:t>Network area and network ratio (network area/total (Euclidean) area) are used as a measure of how connected the streets are. A higher network area and network ratio indicate higher street connectivity (more places accessible within a distance of home).  Network buffers were created so as to obtain network area (the land area covered by the network buffers).  Network buffers differ from straight-line buffers in that they are the distance away from a point along the network (in our case, streets). An easy way to conceptualize this is as follows: pretend you are an all-powerful evil villain with hundreds of minions. You tie a rope that is X-meters (or miles) long to each minion and then release them from your home. They would walk along the roads and when their rope runs out that is the farthest point in the network buffer. These lines/strings are then buffered 50 meters on either side.</w:t>
      </w:r>
    </w:p>
    <w:p w14:paraId="4E285AD4" w14:textId="77777777" w:rsidR="00686069" w:rsidRDefault="00686069" w:rsidP="00686069">
      <w:r>
        <w:t>Network ratio was calculated using the following formula:</w:t>
      </w:r>
    </w:p>
    <w:p w14:paraId="7D314B28" w14:textId="77777777" w:rsidR="00686069" w:rsidRDefault="00686069" w:rsidP="00686069">
      <w:r>
        <w:tab/>
        <w:t>Network Ratio = Network Area (in meters square)/Total area (in meters square)</w:t>
      </w:r>
    </w:p>
    <w:p w14:paraId="72F3D1E4" w14:textId="69E77709" w:rsidR="00686069" w:rsidRDefault="00686069" w:rsidP="00686069">
      <w:r>
        <w:t>When applying the data for use in longitudinal analyses, the two time points for the streets in 2000 and streets in 2010 will be applied as follows:</w:t>
      </w:r>
    </w:p>
    <w:p w14:paraId="0EC80E38" w14:textId="77777777" w:rsidR="00686069" w:rsidRDefault="00686069" w:rsidP="00686069">
      <w:pPr>
        <w:pStyle w:val="NoSpacing"/>
      </w:pPr>
      <w:r>
        <w:tab/>
        <w:t>Years 2000-2005 = Streets 2000 data</w:t>
      </w:r>
    </w:p>
    <w:p w14:paraId="2BD62D85" w14:textId="77777777" w:rsidR="00686069" w:rsidRDefault="00686069" w:rsidP="00686069">
      <w:pPr>
        <w:pStyle w:val="NoSpacing"/>
      </w:pPr>
      <w:r>
        <w:tab/>
        <w:t>Years 2006-2012 = Streets 2010 data</w:t>
      </w:r>
    </w:p>
    <w:p w14:paraId="529D237A" w14:textId="77777777" w:rsidR="00686069" w:rsidRDefault="00686069" w:rsidP="00686069">
      <w:pPr>
        <w:pStyle w:val="NoSpacing"/>
      </w:pPr>
    </w:p>
    <w:p w14:paraId="18AF7DB1" w14:textId="7166E931" w:rsidR="00AB585A" w:rsidRDefault="00686069" w:rsidP="00686069">
      <w:r>
        <w:t xml:space="preserve">This matches to the closest time period using the mid-point time.  </w:t>
      </w:r>
    </w:p>
    <w:p w14:paraId="140CEFE5" w14:textId="77777777" w:rsidR="00686069" w:rsidRDefault="00686069" w:rsidP="00686069">
      <w:pPr>
        <w:rPr>
          <w:rFonts w:cstheme="minorHAnsi"/>
          <w:highlight w:val="yellow"/>
        </w:rPr>
      </w:pPr>
    </w:p>
    <w:p w14:paraId="0108E48E" w14:textId="4AAF2824" w:rsidR="00FF6ADC" w:rsidRPr="00AB585A" w:rsidRDefault="00FF6ADC" w:rsidP="00FF6ADC">
      <w:pPr>
        <w:pStyle w:val="Heading2"/>
      </w:pPr>
      <w:r>
        <w:t>Population Density</w:t>
      </w:r>
    </w:p>
    <w:p w14:paraId="16D6384E" w14:textId="57BF2430" w:rsidR="00FF6ADC" w:rsidRDefault="00FF6ADC" w:rsidP="00FF6ADC">
      <w:r>
        <w:t>The census-based total population (based on census block population data from Census 2000 and Census 2010 SF1 data</w:t>
      </w:r>
      <w:r w:rsidR="00BE6966">
        <w:t xml:space="preserve"> downloaded from the US Census American FactFinder</w:t>
      </w:r>
      <w:r>
        <w:t>) within a study participant’s ½ mile and 1 mile buffers was created.  First, a population density is calculated for each block (assuming an equal distribution of people per unit area) which is then multiplied by the new area of the block piece after being intersected with the buffers; a summary table based on the buffer’s ‘uniqid’ provides the total number of people per buffer.  Population density was created in persons per square mile for 2000 and 2010 populations for each buffer size by the formula:</w:t>
      </w:r>
    </w:p>
    <w:p w14:paraId="70522013" w14:textId="77777777" w:rsidR="00FF6ADC" w:rsidRPr="00CD68CF" w:rsidRDefault="00FF6ADC" w:rsidP="00FF6ADC">
      <w:pPr>
        <w:ind w:left="720"/>
      </w:pPr>
      <w:r>
        <w:t>Population density per square mile = (Total Population/(Total Area in meters square*</w:t>
      </w:r>
      <w:r w:rsidRPr="00CD68CF">
        <w:rPr>
          <w:rFonts w:ascii="Courier New" w:hAnsi="Courier New" w:cs="Courier New"/>
          <w:color w:val="000000"/>
          <w:sz w:val="20"/>
          <w:szCs w:val="20"/>
          <w:shd w:val="clear" w:color="auto" w:fill="FFFFFF"/>
        </w:rPr>
        <w:t xml:space="preserve"> </w:t>
      </w:r>
      <w:r w:rsidRPr="00CD68CF">
        <w:rPr>
          <w:rFonts w:cs="Courier New"/>
          <w:bCs/>
          <w:shd w:val="clear" w:color="auto" w:fill="FFFFFF"/>
        </w:rPr>
        <w:t>0.000000386102158542)</w:t>
      </w:r>
      <w:r>
        <w:t>)</w:t>
      </w:r>
    </w:p>
    <w:p w14:paraId="19A574E9" w14:textId="56826397" w:rsidR="00FF6ADC" w:rsidRDefault="00FF6ADC" w:rsidP="00FF6ADC">
      <w:r>
        <w:t>The unit of measure is persons per square mile.</w:t>
      </w:r>
    </w:p>
    <w:p w14:paraId="7B82D9CB" w14:textId="77777777" w:rsidR="00FF6ADC" w:rsidRDefault="00FF6ADC" w:rsidP="00FF6ADC">
      <w:r>
        <w:t>In addition, the population density within residential area (per square kilometer) was calculated using the formula:</w:t>
      </w:r>
    </w:p>
    <w:p w14:paraId="65EA4811" w14:textId="77777777" w:rsidR="00FF6ADC" w:rsidRDefault="00FF6ADC" w:rsidP="00FF6ADC">
      <w:pPr>
        <w:ind w:left="720"/>
      </w:pPr>
      <w:r>
        <w:t>Population density in residential area per square km = (Total Population/Total Residential Area in meters square)*1000000</w:t>
      </w:r>
    </w:p>
    <w:p w14:paraId="67DB8FA9" w14:textId="781E58B4" w:rsidR="00FF6ADC" w:rsidRDefault="00FF6ADC" w:rsidP="00FF6ADC">
      <w:r>
        <w:t>To apply the data to exams, population from Census 2000 is used for years 2000-2005 and from Census 2010 for years 2006-2012.  The residential area used matches with the land use by site (see below).</w:t>
      </w:r>
    </w:p>
    <w:p w14:paraId="4D34BF2D" w14:textId="783B526E" w:rsidR="00FF6ADC" w:rsidRDefault="00FF6ADC" w:rsidP="00FF6ADC"/>
    <w:p w14:paraId="270D845F" w14:textId="37485BB9" w:rsidR="006621BE" w:rsidRPr="00AB585A" w:rsidRDefault="006621BE" w:rsidP="006621BE">
      <w:pPr>
        <w:pStyle w:val="Heading2"/>
      </w:pPr>
      <w:r>
        <w:t>Land Use</w:t>
      </w:r>
    </w:p>
    <w:p w14:paraId="7B215566" w14:textId="03A99D8B" w:rsidR="006621BE" w:rsidRDefault="006621BE" w:rsidP="006621BE">
      <w:pPr>
        <w:spacing w:after="120"/>
      </w:pPr>
      <w:r>
        <w:t>Based on the findings in Daniel Rodriguez’s paper</w:t>
      </w:r>
      <w:r>
        <w:rPr>
          <w:rStyle w:val="FootnoteReference"/>
        </w:rPr>
        <w:footnoteReference w:id="11"/>
      </w:r>
      <w:r>
        <w:t>, which was based on the MESA baseline built environment data, obtainment of additional parcel land use data was given priority to be able to look at changes in land use (percent retail, residential, and commercial) with changes in health and health behaviors (such as walking).  Data on land use was collected from various government sources from Los Angeles, CA; Chicago, IL; Baltimore, MD; St Paul, MN; Forsyth County, NC; and New York, NY.</w:t>
      </w:r>
      <w:r w:rsidR="00463EDF">
        <w:t xml:space="preserve"> The timing of the data available is highly variable by study site as outlined in Table 2.</w:t>
      </w:r>
    </w:p>
    <w:p w14:paraId="14B1D7DE" w14:textId="62CB4CAA" w:rsidR="00463EDF" w:rsidRPr="006A6421" w:rsidRDefault="00463EDF" w:rsidP="00463EDF">
      <w:pPr>
        <w:pStyle w:val="Caption"/>
      </w:pPr>
      <w:r w:rsidRPr="006A6421">
        <w:t xml:space="preserve">Table </w:t>
      </w:r>
      <w:r>
        <w:t>2</w:t>
      </w:r>
      <w:r w:rsidRPr="006A6421">
        <w:t>: Land Use- Parcel files for the following sites and years (shading indicates data available in that year):</w:t>
      </w:r>
    </w:p>
    <w:tbl>
      <w:tblPr>
        <w:tblStyle w:val="TableGrid"/>
        <w:tblW w:w="10170" w:type="dxa"/>
        <w:tblInd w:w="108" w:type="dxa"/>
        <w:tblLayout w:type="fixed"/>
        <w:tblLook w:val="04A0" w:firstRow="1" w:lastRow="0" w:firstColumn="1" w:lastColumn="0" w:noHBand="0" w:noVBand="1"/>
      </w:tblPr>
      <w:tblGrid>
        <w:gridCol w:w="630"/>
        <w:gridCol w:w="720"/>
        <w:gridCol w:w="1530"/>
        <w:gridCol w:w="720"/>
        <w:gridCol w:w="810"/>
        <w:gridCol w:w="720"/>
        <w:gridCol w:w="720"/>
        <w:gridCol w:w="1530"/>
        <w:gridCol w:w="720"/>
        <w:gridCol w:w="630"/>
        <w:gridCol w:w="630"/>
        <w:gridCol w:w="810"/>
      </w:tblGrid>
      <w:tr w:rsidR="00463EDF" w:rsidRPr="008B3585" w14:paraId="0EF4E449" w14:textId="77777777" w:rsidTr="00463EDF">
        <w:tc>
          <w:tcPr>
            <w:tcW w:w="630" w:type="dxa"/>
          </w:tcPr>
          <w:p w14:paraId="05B30A10" w14:textId="77777777" w:rsidR="00463EDF" w:rsidRPr="008B3585" w:rsidRDefault="00463EDF" w:rsidP="00CB6A4E">
            <w:pPr>
              <w:pStyle w:val="ListParagraph"/>
              <w:ind w:left="0"/>
              <w:rPr>
                <w:b/>
                <w:sz w:val="20"/>
                <w:szCs w:val="20"/>
              </w:rPr>
            </w:pPr>
            <w:r w:rsidRPr="008B3585">
              <w:rPr>
                <w:b/>
                <w:sz w:val="20"/>
                <w:szCs w:val="20"/>
              </w:rPr>
              <w:t>Site</w:t>
            </w:r>
          </w:p>
        </w:tc>
        <w:tc>
          <w:tcPr>
            <w:tcW w:w="720" w:type="dxa"/>
          </w:tcPr>
          <w:p w14:paraId="2633002D" w14:textId="77777777" w:rsidR="00463EDF" w:rsidRPr="008B3585" w:rsidRDefault="00463EDF" w:rsidP="00CB6A4E">
            <w:pPr>
              <w:pStyle w:val="ListParagraph"/>
              <w:ind w:left="0"/>
              <w:rPr>
                <w:b/>
                <w:sz w:val="20"/>
                <w:szCs w:val="20"/>
              </w:rPr>
            </w:pPr>
            <w:r w:rsidRPr="008B3585">
              <w:rPr>
                <w:b/>
                <w:sz w:val="20"/>
                <w:szCs w:val="20"/>
              </w:rPr>
              <w:t>2001</w:t>
            </w:r>
          </w:p>
        </w:tc>
        <w:tc>
          <w:tcPr>
            <w:tcW w:w="1530" w:type="dxa"/>
          </w:tcPr>
          <w:p w14:paraId="0D9A89F4" w14:textId="77777777" w:rsidR="00463EDF" w:rsidRPr="008B3585" w:rsidRDefault="00463EDF" w:rsidP="00CB6A4E">
            <w:pPr>
              <w:pStyle w:val="ListParagraph"/>
              <w:ind w:left="0"/>
              <w:rPr>
                <w:b/>
                <w:sz w:val="20"/>
                <w:szCs w:val="20"/>
              </w:rPr>
            </w:pPr>
            <w:r w:rsidRPr="008B3585">
              <w:rPr>
                <w:b/>
                <w:sz w:val="20"/>
                <w:szCs w:val="20"/>
              </w:rPr>
              <w:t>2002</w:t>
            </w:r>
          </w:p>
        </w:tc>
        <w:tc>
          <w:tcPr>
            <w:tcW w:w="720" w:type="dxa"/>
          </w:tcPr>
          <w:p w14:paraId="7CAB13AE" w14:textId="77777777" w:rsidR="00463EDF" w:rsidRPr="008B3585" w:rsidRDefault="00463EDF" w:rsidP="00CB6A4E">
            <w:pPr>
              <w:pStyle w:val="ListParagraph"/>
              <w:ind w:left="0"/>
              <w:rPr>
                <w:b/>
                <w:sz w:val="20"/>
                <w:szCs w:val="20"/>
              </w:rPr>
            </w:pPr>
            <w:r w:rsidRPr="008B3585">
              <w:rPr>
                <w:b/>
                <w:sz w:val="20"/>
                <w:szCs w:val="20"/>
              </w:rPr>
              <w:t>2003</w:t>
            </w:r>
          </w:p>
        </w:tc>
        <w:tc>
          <w:tcPr>
            <w:tcW w:w="810" w:type="dxa"/>
          </w:tcPr>
          <w:p w14:paraId="4A1EE356" w14:textId="77777777" w:rsidR="00463EDF" w:rsidRPr="008B3585" w:rsidRDefault="00463EDF" w:rsidP="00CB6A4E">
            <w:pPr>
              <w:pStyle w:val="ListParagraph"/>
              <w:ind w:left="0"/>
              <w:rPr>
                <w:b/>
                <w:sz w:val="20"/>
                <w:szCs w:val="20"/>
              </w:rPr>
            </w:pPr>
            <w:r w:rsidRPr="008B3585">
              <w:rPr>
                <w:b/>
                <w:sz w:val="20"/>
                <w:szCs w:val="20"/>
              </w:rPr>
              <w:t>2004</w:t>
            </w:r>
          </w:p>
        </w:tc>
        <w:tc>
          <w:tcPr>
            <w:tcW w:w="720" w:type="dxa"/>
          </w:tcPr>
          <w:p w14:paraId="1E042E17" w14:textId="77777777" w:rsidR="00463EDF" w:rsidRPr="008B3585" w:rsidRDefault="00463EDF" w:rsidP="00CB6A4E">
            <w:pPr>
              <w:pStyle w:val="ListParagraph"/>
              <w:ind w:left="0"/>
              <w:rPr>
                <w:b/>
                <w:sz w:val="20"/>
                <w:szCs w:val="20"/>
              </w:rPr>
            </w:pPr>
            <w:r w:rsidRPr="008B3585">
              <w:rPr>
                <w:b/>
                <w:sz w:val="20"/>
                <w:szCs w:val="20"/>
              </w:rPr>
              <w:t>2005</w:t>
            </w:r>
          </w:p>
        </w:tc>
        <w:tc>
          <w:tcPr>
            <w:tcW w:w="720" w:type="dxa"/>
          </w:tcPr>
          <w:p w14:paraId="2168E5A6" w14:textId="77777777" w:rsidR="00463EDF" w:rsidRPr="008B3585" w:rsidRDefault="00463EDF" w:rsidP="00CB6A4E">
            <w:pPr>
              <w:pStyle w:val="ListParagraph"/>
              <w:ind w:left="0"/>
              <w:rPr>
                <w:b/>
                <w:sz w:val="20"/>
                <w:szCs w:val="20"/>
              </w:rPr>
            </w:pPr>
            <w:r w:rsidRPr="008B3585">
              <w:rPr>
                <w:b/>
                <w:sz w:val="20"/>
                <w:szCs w:val="20"/>
              </w:rPr>
              <w:t>2006</w:t>
            </w:r>
          </w:p>
        </w:tc>
        <w:tc>
          <w:tcPr>
            <w:tcW w:w="1530" w:type="dxa"/>
          </w:tcPr>
          <w:p w14:paraId="503EDB1C" w14:textId="77777777" w:rsidR="00463EDF" w:rsidRPr="008B3585" w:rsidRDefault="00463EDF" w:rsidP="00CB6A4E">
            <w:pPr>
              <w:pStyle w:val="ListParagraph"/>
              <w:ind w:left="0"/>
              <w:rPr>
                <w:b/>
                <w:sz w:val="20"/>
                <w:szCs w:val="20"/>
              </w:rPr>
            </w:pPr>
            <w:r w:rsidRPr="008B3585">
              <w:rPr>
                <w:b/>
                <w:sz w:val="20"/>
                <w:szCs w:val="20"/>
              </w:rPr>
              <w:t>2008</w:t>
            </w:r>
          </w:p>
        </w:tc>
        <w:tc>
          <w:tcPr>
            <w:tcW w:w="720" w:type="dxa"/>
          </w:tcPr>
          <w:p w14:paraId="166897CB" w14:textId="77777777" w:rsidR="00463EDF" w:rsidRPr="008B3585" w:rsidRDefault="00463EDF" w:rsidP="00CB6A4E">
            <w:pPr>
              <w:pStyle w:val="ListParagraph"/>
              <w:ind w:left="0"/>
              <w:rPr>
                <w:b/>
                <w:sz w:val="20"/>
                <w:szCs w:val="20"/>
              </w:rPr>
            </w:pPr>
            <w:r w:rsidRPr="008B3585">
              <w:rPr>
                <w:b/>
                <w:sz w:val="20"/>
                <w:szCs w:val="20"/>
              </w:rPr>
              <w:t>2009</w:t>
            </w:r>
          </w:p>
        </w:tc>
        <w:tc>
          <w:tcPr>
            <w:tcW w:w="630" w:type="dxa"/>
          </w:tcPr>
          <w:p w14:paraId="4593F953" w14:textId="77777777" w:rsidR="00463EDF" w:rsidRPr="008B3585" w:rsidRDefault="00463EDF" w:rsidP="00CB6A4E">
            <w:pPr>
              <w:pStyle w:val="ListParagraph"/>
              <w:ind w:left="0"/>
              <w:rPr>
                <w:b/>
                <w:sz w:val="20"/>
                <w:szCs w:val="20"/>
              </w:rPr>
            </w:pPr>
            <w:r w:rsidRPr="008B3585">
              <w:rPr>
                <w:b/>
                <w:sz w:val="20"/>
                <w:szCs w:val="20"/>
              </w:rPr>
              <w:t>2010</w:t>
            </w:r>
          </w:p>
        </w:tc>
        <w:tc>
          <w:tcPr>
            <w:tcW w:w="630" w:type="dxa"/>
          </w:tcPr>
          <w:p w14:paraId="58D0AFEE" w14:textId="77777777" w:rsidR="00463EDF" w:rsidRPr="008B3585" w:rsidRDefault="00463EDF" w:rsidP="00CB6A4E">
            <w:pPr>
              <w:pStyle w:val="ListParagraph"/>
              <w:ind w:left="0"/>
              <w:rPr>
                <w:b/>
                <w:sz w:val="20"/>
                <w:szCs w:val="20"/>
              </w:rPr>
            </w:pPr>
            <w:r w:rsidRPr="008B3585">
              <w:rPr>
                <w:b/>
                <w:sz w:val="20"/>
                <w:szCs w:val="20"/>
              </w:rPr>
              <w:t>2011</w:t>
            </w:r>
          </w:p>
        </w:tc>
        <w:tc>
          <w:tcPr>
            <w:tcW w:w="810" w:type="dxa"/>
          </w:tcPr>
          <w:p w14:paraId="58FA21F0" w14:textId="77777777" w:rsidR="00463EDF" w:rsidRPr="008B3585" w:rsidRDefault="00463EDF" w:rsidP="00CB6A4E">
            <w:pPr>
              <w:pStyle w:val="ListParagraph"/>
              <w:ind w:left="0"/>
              <w:rPr>
                <w:b/>
                <w:sz w:val="20"/>
                <w:szCs w:val="20"/>
              </w:rPr>
            </w:pPr>
            <w:r w:rsidRPr="008B3585">
              <w:rPr>
                <w:b/>
                <w:sz w:val="20"/>
                <w:szCs w:val="20"/>
              </w:rPr>
              <w:t>2013</w:t>
            </w:r>
          </w:p>
        </w:tc>
      </w:tr>
      <w:tr w:rsidR="00463EDF" w:rsidRPr="008B3585" w14:paraId="2BBA0EE9" w14:textId="77777777" w:rsidTr="00463EDF">
        <w:tc>
          <w:tcPr>
            <w:tcW w:w="630" w:type="dxa"/>
          </w:tcPr>
          <w:p w14:paraId="63E66DCE" w14:textId="77777777" w:rsidR="00463EDF" w:rsidRPr="008B3585" w:rsidRDefault="00463EDF" w:rsidP="00CB6A4E">
            <w:pPr>
              <w:pStyle w:val="ListParagraph"/>
              <w:ind w:left="0"/>
              <w:rPr>
                <w:sz w:val="20"/>
                <w:szCs w:val="20"/>
              </w:rPr>
            </w:pPr>
            <w:r w:rsidRPr="008B3585">
              <w:rPr>
                <w:sz w:val="20"/>
                <w:szCs w:val="20"/>
              </w:rPr>
              <w:t>CA</w:t>
            </w:r>
          </w:p>
        </w:tc>
        <w:tc>
          <w:tcPr>
            <w:tcW w:w="720" w:type="dxa"/>
            <w:tcBorders>
              <w:bottom w:val="single" w:sz="4" w:space="0" w:color="auto"/>
            </w:tcBorders>
            <w:shd w:val="clear" w:color="auto" w:fill="7F7F7F" w:themeFill="text1" w:themeFillTint="80"/>
          </w:tcPr>
          <w:p w14:paraId="4BB174B3" w14:textId="77777777" w:rsidR="00463EDF" w:rsidRPr="008B3585" w:rsidRDefault="00463EDF" w:rsidP="00CB6A4E">
            <w:pPr>
              <w:pStyle w:val="ListParagraph"/>
              <w:ind w:left="0"/>
              <w:rPr>
                <w:sz w:val="20"/>
                <w:szCs w:val="20"/>
              </w:rPr>
            </w:pPr>
          </w:p>
        </w:tc>
        <w:tc>
          <w:tcPr>
            <w:tcW w:w="1530" w:type="dxa"/>
            <w:shd w:val="clear" w:color="auto" w:fill="auto"/>
          </w:tcPr>
          <w:p w14:paraId="71D6C4E0" w14:textId="77777777" w:rsidR="00463EDF" w:rsidRPr="008B3585" w:rsidRDefault="00463EDF" w:rsidP="00CB6A4E">
            <w:pPr>
              <w:pStyle w:val="ListParagraph"/>
              <w:ind w:left="0"/>
              <w:rPr>
                <w:sz w:val="20"/>
                <w:szCs w:val="20"/>
              </w:rPr>
            </w:pPr>
          </w:p>
        </w:tc>
        <w:tc>
          <w:tcPr>
            <w:tcW w:w="720" w:type="dxa"/>
            <w:shd w:val="clear" w:color="auto" w:fill="auto"/>
          </w:tcPr>
          <w:p w14:paraId="574BBB03" w14:textId="77777777" w:rsidR="00463EDF" w:rsidRPr="008B3585" w:rsidRDefault="00463EDF" w:rsidP="00CB6A4E">
            <w:pPr>
              <w:pStyle w:val="ListParagraph"/>
              <w:ind w:left="0"/>
              <w:rPr>
                <w:sz w:val="20"/>
                <w:szCs w:val="20"/>
              </w:rPr>
            </w:pPr>
          </w:p>
        </w:tc>
        <w:tc>
          <w:tcPr>
            <w:tcW w:w="810" w:type="dxa"/>
            <w:shd w:val="clear" w:color="auto" w:fill="auto"/>
          </w:tcPr>
          <w:p w14:paraId="0F5242AD" w14:textId="77777777" w:rsidR="00463EDF" w:rsidRPr="008B3585" w:rsidRDefault="00463EDF" w:rsidP="00CB6A4E">
            <w:pPr>
              <w:pStyle w:val="ListParagraph"/>
              <w:ind w:left="0"/>
              <w:rPr>
                <w:sz w:val="20"/>
                <w:szCs w:val="20"/>
              </w:rPr>
            </w:pPr>
          </w:p>
        </w:tc>
        <w:tc>
          <w:tcPr>
            <w:tcW w:w="720" w:type="dxa"/>
            <w:tcBorders>
              <w:bottom w:val="single" w:sz="4" w:space="0" w:color="auto"/>
            </w:tcBorders>
            <w:shd w:val="clear" w:color="auto" w:fill="7F7F7F" w:themeFill="text1" w:themeFillTint="80"/>
          </w:tcPr>
          <w:p w14:paraId="61D49F7E" w14:textId="77777777" w:rsidR="00463EDF" w:rsidRPr="008B3585" w:rsidRDefault="00463EDF" w:rsidP="00CB6A4E">
            <w:pPr>
              <w:pStyle w:val="ListParagraph"/>
              <w:ind w:left="0"/>
              <w:rPr>
                <w:sz w:val="20"/>
                <w:szCs w:val="20"/>
              </w:rPr>
            </w:pPr>
          </w:p>
        </w:tc>
        <w:tc>
          <w:tcPr>
            <w:tcW w:w="720" w:type="dxa"/>
          </w:tcPr>
          <w:p w14:paraId="34F78AE7" w14:textId="77777777" w:rsidR="00463EDF" w:rsidRPr="008B3585" w:rsidRDefault="00463EDF" w:rsidP="00CB6A4E">
            <w:pPr>
              <w:pStyle w:val="ListParagraph"/>
              <w:ind w:left="0"/>
              <w:rPr>
                <w:sz w:val="20"/>
                <w:szCs w:val="20"/>
              </w:rPr>
            </w:pPr>
          </w:p>
        </w:tc>
        <w:tc>
          <w:tcPr>
            <w:tcW w:w="1530" w:type="dxa"/>
            <w:shd w:val="clear" w:color="auto" w:fill="7F7F7F" w:themeFill="text1" w:themeFillTint="80"/>
          </w:tcPr>
          <w:p w14:paraId="17988980" w14:textId="77777777" w:rsidR="00463EDF" w:rsidRPr="008B3585" w:rsidRDefault="00463EDF" w:rsidP="00CB6A4E">
            <w:pPr>
              <w:pStyle w:val="ListParagraph"/>
              <w:ind w:left="0"/>
              <w:rPr>
                <w:sz w:val="20"/>
                <w:szCs w:val="20"/>
              </w:rPr>
            </w:pPr>
          </w:p>
        </w:tc>
        <w:tc>
          <w:tcPr>
            <w:tcW w:w="720" w:type="dxa"/>
          </w:tcPr>
          <w:p w14:paraId="51DFB536" w14:textId="77777777" w:rsidR="00463EDF" w:rsidRPr="008B3585" w:rsidRDefault="00463EDF" w:rsidP="00CB6A4E">
            <w:pPr>
              <w:pStyle w:val="ListParagraph"/>
              <w:ind w:left="0"/>
              <w:rPr>
                <w:sz w:val="20"/>
                <w:szCs w:val="20"/>
              </w:rPr>
            </w:pPr>
          </w:p>
        </w:tc>
        <w:tc>
          <w:tcPr>
            <w:tcW w:w="630" w:type="dxa"/>
          </w:tcPr>
          <w:p w14:paraId="0E37BDEC" w14:textId="77777777" w:rsidR="00463EDF" w:rsidRPr="008B3585" w:rsidRDefault="00463EDF" w:rsidP="00CB6A4E">
            <w:pPr>
              <w:pStyle w:val="ListParagraph"/>
              <w:ind w:left="0"/>
              <w:rPr>
                <w:sz w:val="20"/>
                <w:szCs w:val="20"/>
              </w:rPr>
            </w:pPr>
          </w:p>
        </w:tc>
        <w:tc>
          <w:tcPr>
            <w:tcW w:w="630" w:type="dxa"/>
          </w:tcPr>
          <w:p w14:paraId="0B7DD064" w14:textId="77777777" w:rsidR="00463EDF" w:rsidRPr="008B3585" w:rsidRDefault="00463EDF" w:rsidP="00CB6A4E">
            <w:pPr>
              <w:pStyle w:val="ListParagraph"/>
              <w:ind w:left="0"/>
              <w:rPr>
                <w:sz w:val="20"/>
                <w:szCs w:val="20"/>
              </w:rPr>
            </w:pPr>
          </w:p>
        </w:tc>
        <w:tc>
          <w:tcPr>
            <w:tcW w:w="810" w:type="dxa"/>
          </w:tcPr>
          <w:p w14:paraId="74B05501" w14:textId="77777777" w:rsidR="00463EDF" w:rsidRPr="008B3585" w:rsidRDefault="00463EDF" w:rsidP="00CB6A4E">
            <w:pPr>
              <w:pStyle w:val="ListParagraph"/>
              <w:ind w:left="0"/>
              <w:rPr>
                <w:sz w:val="20"/>
                <w:szCs w:val="20"/>
              </w:rPr>
            </w:pPr>
          </w:p>
        </w:tc>
      </w:tr>
      <w:tr w:rsidR="00463EDF" w:rsidRPr="008B3585" w14:paraId="46A21682" w14:textId="77777777" w:rsidTr="00463EDF">
        <w:tc>
          <w:tcPr>
            <w:tcW w:w="630" w:type="dxa"/>
          </w:tcPr>
          <w:p w14:paraId="1BDACAC0" w14:textId="77777777" w:rsidR="00463EDF" w:rsidRPr="008B3585" w:rsidRDefault="00463EDF" w:rsidP="00CB6A4E">
            <w:pPr>
              <w:pStyle w:val="ListParagraph"/>
              <w:ind w:left="0"/>
              <w:rPr>
                <w:sz w:val="20"/>
                <w:szCs w:val="20"/>
              </w:rPr>
            </w:pPr>
            <w:r w:rsidRPr="008B3585">
              <w:rPr>
                <w:sz w:val="20"/>
                <w:szCs w:val="20"/>
              </w:rPr>
              <w:t>IL</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77E672" w14:textId="77777777" w:rsidR="00463EDF" w:rsidRPr="008B3585" w:rsidRDefault="00463EDF" w:rsidP="00CB6A4E">
            <w:pPr>
              <w:pStyle w:val="ListParagraph"/>
              <w:ind w:left="0"/>
              <w:rPr>
                <w:sz w:val="20"/>
                <w:szCs w:val="20"/>
              </w:rPr>
            </w:pPr>
            <w:r w:rsidRPr="008B3585">
              <w:rPr>
                <w:sz w:val="20"/>
                <w:szCs w:val="20"/>
              </w:rPr>
              <w:t>*</w:t>
            </w:r>
          </w:p>
        </w:tc>
        <w:tc>
          <w:tcPr>
            <w:tcW w:w="1530" w:type="dxa"/>
            <w:tcBorders>
              <w:left w:val="single" w:sz="4" w:space="0" w:color="auto"/>
            </w:tcBorders>
            <w:shd w:val="clear" w:color="auto" w:fill="auto"/>
          </w:tcPr>
          <w:p w14:paraId="77D06772" w14:textId="77777777" w:rsidR="00463EDF" w:rsidRPr="008B3585" w:rsidRDefault="00463EDF" w:rsidP="00CB6A4E">
            <w:pPr>
              <w:pStyle w:val="ListParagraph"/>
              <w:ind w:left="0"/>
              <w:rPr>
                <w:sz w:val="20"/>
                <w:szCs w:val="20"/>
              </w:rPr>
            </w:pPr>
          </w:p>
        </w:tc>
        <w:tc>
          <w:tcPr>
            <w:tcW w:w="720" w:type="dxa"/>
            <w:shd w:val="clear" w:color="auto" w:fill="auto"/>
          </w:tcPr>
          <w:p w14:paraId="111D7DEC" w14:textId="77777777" w:rsidR="00463EDF" w:rsidRPr="008B3585" w:rsidRDefault="00463EDF" w:rsidP="00CB6A4E">
            <w:pPr>
              <w:pStyle w:val="ListParagraph"/>
              <w:ind w:left="0"/>
              <w:rPr>
                <w:sz w:val="20"/>
                <w:szCs w:val="20"/>
              </w:rPr>
            </w:pPr>
          </w:p>
        </w:tc>
        <w:tc>
          <w:tcPr>
            <w:tcW w:w="810" w:type="dxa"/>
            <w:tcBorders>
              <w:right w:val="single" w:sz="4" w:space="0" w:color="auto"/>
            </w:tcBorders>
            <w:shd w:val="clear" w:color="auto" w:fill="auto"/>
          </w:tcPr>
          <w:p w14:paraId="337483CD" w14:textId="77777777" w:rsidR="00463EDF" w:rsidRPr="008B3585" w:rsidRDefault="00463EDF" w:rsidP="00CB6A4E">
            <w:pPr>
              <w:pStyle w:val="ListParagraph"/>
              <w:ind w:left="0"/>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7F12ABD" w14:textId="77777777" w:rsidR="00463EDF" w:rsidRPr="008B3585" w:rsidRDefault="00463EDF" w:rsidP="00CB6A4E">
            <w:pPr>
              <w:pStyle w:val="ListParagraph"/>
              <w:ind w:left="0"/>
              <w:rPr>
                <w:sz w:val="20"/>
                <w:szCs w:val="20"/>
              </w:rPr>
            </w:pPr>
            <w:r w:rsidRPr="008B3585">
              <w:rPr>
                <w:sz w:val="20"/>
                <w:szCs w:val="20"/>
              </w:rPr>
              <w:t>*</w:t>
            </w:r>
          </w:p>
        </w:tc>
        <w:tc>
          <w:tcPr>
            <w:tcW w:w="720" w:type="dxa"/>
            <w:tcBorders>
              <w:left w:val="single" w:sz="4" w:space="0" w:color="auto"/>
            </w:tcBorders>
          </w:tcPr>
          <w:p w14:paraId="1A015148" w14:textId="77777777" w:rsidR="00463EDF" w:rsidRPr="008B3585" w:rsidRDefault="00463EDF" w:rsidP="00CB6A4E">
            <w:pPr>
              <w:pStyle w:val="ListParagraph"/>
              <w:ind w:left="0"/>
              <w:rPr>
                <w:sz w:val="20"/>
                <w:szCs w:val="20"/>
              </w:rPr>
            </w:pPr>
          </w:p>
        </w:tc>
        <w:tc>
          <w:tcPr>
            <w:tcW w:w="1530" w:type="dxa"/>
          </w:tcPr>
          <w:p w14:paraId="3F97E89C" w14:textId="77777777" w:rsidR="00463EDF" w:rsidRPr="008B3585" w:rsidRDefault="00463EDF" w:rsidP="00CB6A4E">
            <w:pPr>
              <w:pStyle w:val="ListParagraph"/>
              <w:ind w:left="0"/>
              <w:rPr>
                <w:sz w:val="20"/>
                <w:szCs w:val="20"/>
              </w:rPr>
            </w:pPr>
          </w:p>
        </w:tc>
        <w:tc>
          <w:tcPr>
            <w:tcW w:w="720" w:type="dxa"/>
          </w:tcPr>
          <w:p w14:paraId="41C37E04" w14:textId="77777777" w:rsidR="00463EDF" w:rsidRPr="008B3585" w:rsidRDefault="00463EDF" w:rsidP="00CB6A4E">
            <w:pPr>
              <w:pStyle w:val="ListParagraph"/>
              <w:ind w:left="0"/>
              <w:rPr>
                <w:sz w:val="20"/>
                <w:szCs w:val="20"/>
              </w:rPr>
            </w:pPr>
          </w:p>
        </w:tc>
        <w:tc>
          <w:tcPr>
            <w:tcW w:w="630" w:type="dxa"/>
          </w:tcPr>
          <w:p w14:paraId="03C63506" w14:textId="77777777" w:rsidR="00463EDF" w:rsidRPr="008B3585" w:rsidRDefault="00463EDF" w:rsidP="00CB6A4E">
            <w:pPr>
              <w:pStyle w:val="ListParagraph"/>
              <w:ind w:left="0"/>
              <w:rPr>
                <w:sz w:val="20"/>
                <w:szCs w:val="20"/>
              </w:rPr>
            </w:pPr>
          </w:p>
        </w:tc>
        <w:tc>
          <w:tcPr>
            <w:tcW w:w="630" w:type="dxa"/>
          </w:tcPr>
          <w:p w14:paraId="65ECEB4A" w14:textId="77777777" w:rsidR="00463EDF" w:rsidRPr="008B3585" w:rsidRDefault="00463EDF" w:rsidP="00CB6A4E">
            <w:pPr>
              <w:pStyle w:val="ListParagraph"/>
              <w:ind w:left="0"/>
              <w:rPr>
                <w:sz w:val="20"/>
                <w:szCs w:val="20"/>
              </w:rPr>
            </w:pPr>
          </w:p>
        </w:tc>
        <w:tc>
          <w:tcPr>
            <w:tcW w:w="810" w:type="dxa"/>
          </w:tcPr>
          <w:p w14:paraId="4D0B53FE" w14:textId="77777777" w:rsidR="00463EDF" w:rsidRPr="008B3585" w:rsidRDefault="00463EDF" w:rsidP="00CB6A4E">
            <w:pPr>
              <w:pStyle w:val="ListParagraph"/>
              <w:ind w:left="0"/>
              <w:rPr>
                <w:sz w:val="20"/>
                <w:szCs w:val="20"/>
              </w:rPr>
            </w:pPr>
          </w:p>
        </w:tc>
      </w:tr>
      <w:tr w:rsidR="00463EDF" w:rsidRPr="008B3585" w14:paraId="3B2D519E" w14:textId="77777777" w:rsidTr="00463EDF">
        <w:tc>
          <w:tcPr>
            <w:tcW w:w="630" w:type="dxa"/>
          </w:tcPr>
          <w:p w14:paraId="53464DE5" w14:textId="77777777" w:rsidR="00463EDF" w:rsidRPr="008B3585" w:rsidRDefault="00463EDF" w:rsidP="00CB6A4E">
            <w:pPr>
              <w:pStyle w:val="ListParagraph"/>
              <w:ind w:left="0"/>
              <w:rPr>
                <w:sz w:val="20"/>
                <w:szCs w:val="20"/>
              </w:rPr>
            </w:pPr>
            <w:r w:rsidRPr="008B3585">
              <w:rPr>
                <w:sz w:val="20"/>
                <w:szCs w:val="20"/>
              </w:rPr>
              <w:t>MD</w:t>
            </w:r>
          </w:p>
        </w:tc>
        <w:tc>
          <w:tcPr>
            <w:tcW w:w="720" w:type="dxa"/>
            <w:tcBorders>
              <w:top w:val="single" w:sz="4" w:space="0" w:color="auto"/>
            </w:tcBorders>
            <w:shd w:val="clear" w:color="auto" w:fill="auto"/>
          </w:tcPr>
          <w:p w14:paraId="216FEA1E" w14:textId="77777777" w:rsidR="00463EDF" w:rsidRPr="008B3585" w:rsidRDefault="00463EDF" w:rsidP="00CB6A4E">
            <w:pPr>
              <w:pStyle w:val="ListParagraph"/>
              <w:ind w:left="0"/>
              <w:rPr>
                <w:sz w:val="20"/>
                <w:szCs w:val="20"/>
              </w:rPr>
            </w:pPr>
          </w:p>
        </w:tc>
        <w:tc>
          <w:tcPr>
            <w:tcW w:w="1530" w:type="dxa"/>
            <w:shd w:val="clear" w:color="auto" w:fill="7F7F7F" w:themeFill="text1" w:themeFillTint="80"/>
          </w:tcPr>
          <w:p w14:paraId="5D754F32" w14:textId="77777777" w:rsidR="00463EDF" w:rsidRPr="008B3585" w:rsidRDefault="00463EDF" w:rsidP="00CB6A4E">
            <w:pPr>
              <w:pStyle w:val="ListParagraph"/>
              <w:ind w:left="0"/>
              <w:rPr>
                <w:sz w:val="20"/>
                <w:szCs w:val="20"/>
              </w:rPr>
            </w:pPr>
            <w:r w:rsidRPr="008B3585">
              <w:rPr>
                <w:sz w:val="20"/>
                <w:szCs w:val="20"/>
              </w:rPr>
              <w:t>County and City</w:t>
            </w:r>
          </w:p>
        </w:tc>
        <w:tc>
          <w:tcPr>
            <w:tcW w:w="720" w:type="dxa"/>
            <w:shd w:val="clear" w:color="auto" w:fill="auto"/>
          </w:tcPr>
          <w:p w14:paraId="786C2A3F" w14:textId="77777777" w:rsidR="00463EDF" w:rsidRPr="008B3585" w:rsidRDefault="00463EDF" w:rsidP="00CB6A4E">
            <w:pPr>
              <w:pStyle w:val="ListParagraph"/>
              <w:ind w:left="0"/>
              <w:rPr>
                <w:sz w:val="20"/>
                <w:szCs w:val="20"/>
              </w:rPr>
            </w:pPr>
          </w:p>
        </w:tc>
        <w:tc>
          <w:tcPr>
            <w:tcW w:w="810" w:type="dxa"/>
            <w:shd w:val="clear" w:color="auto" w:fill="7F7F7F" w:themeFill="text1" w:themeFillTint="80"/>
          </w:tcPr>
          <w:p w14:paraId="689DA11B" w14:textId="77777777" w:rsidR="00463EDF" w:rsidRPr="008B3585" w:rsidRDefault="00463EDF" w:rsidP="00CB6A4E">
            <w:pPr>
              <w:pStyle w:val="ListParagraph"/>
              <w:ind w:left="0"/>
              <w:rPr>
                <w:sz w:val="20"/>
                <w:szCs w:val="20"/>
              </w:rPr>
            </w:pPr>
            <w:r w:rsidRPr="008B3585">
              <w:rPr>
                <w:sz w:val="20"/>
                <w:szCs w:val="20"/>
              </w:rPr>
              <w:t>County</w:t>
            </w:r>
          </w:p>
        </w:tc>
        <w:tc>
          <w:tcPr>
            <w:tcW w:w="720" w:type="dxa"/>
            <w:tcBorders>
              <w:top w:val="single" w:sz="4" w:space="0" w:color="auto"/>
            </w:tcBorders>
          </w:tcPr>
          <w:p w14:paraId="023A6A25" w14:textId="77777777" w:rsidR="00463EDF" w:rsidRPr="008B3585" w:rsidRDefault="00463EDF" w:rsidP="00CB6A4E">
            <w:pPr>
              <w:pStyle w:val="ListParagraph"/>
              <w:ind w:left="0"/>
              <w:rPr>
                <w:sz w:val="20"/>
                <w:szCs w:val="20"/>
              </w:rPr>
            </w:pPr>
          </w:p>
        </w:tc>
        <w:tc>
          <w:tcPr>
            <w:tcW w:w="720" w:type="dxa"/>
            <w:shd w:val="clear" w:color="auto" w:fill="7F7F7F" w:themeFill="text1" w:themeFillTint="80"/>
          </w:tcPr>
          <w:p w14:paraId="1606BF0C" w14:textId="77777777" w:rsidR="00463EDF" w:rsidRPr="008B3585" w:rsidRDefault="00463EDF" w:rsidP="00CB6A4E">
            <w:pPr>
              <w:pStyle w:val="ListParagraph"/>
              <w:ind w:left="0"/>
              <w:rPr>
                <w:sz w:val="20"/>
                <w:szCs w:val="20"/>
              </w:rPr>
            </w:pPr>
            <w:r w:rsidRPr="008B3585">
              <w:rPr>
                <w:sz w:val="20"/>
                <w:szCs w:val="20"/>
              </w:rPr>
              <w:t>City</w:t>
            </w:r>
          </w:p>
        </w:tc>
        <w:tc>
          <w:tcPr>
            <w:tcW w:w="1530" w:type="dxa"/>
            <w:shd w:val="clear" w:color="auto" w:fill="7F7F7F" w:themeFill="text1" w:themeFillTint="80"/>
          </w:tcPr>
          <w:p w14:paraId="1BDBEC48" w14:textId="77777777" w:rsidR="00463EDF" w:rsidRPr="008B3585" w:rsidRDefault="00463EDF" w:rsidP="00CB6A4E">
            <w:pPr>
              <w:pStyle w:val="ListParagraph"/>
              <w:ind w:left="0"/>
              <w:rPr>
                <w:sz w:val="20"/>
                <w:szCs w:val="20"/>
              </w:rPr>
            </w:pPr>
            <w:r w:rsidRPr="008B3585">
              <w:rPr>
                <w:sz w:val="20"/>
                <w:szCs w:val="20"/>
              </w:rPr>
              <w:t>County and City</w:t>
            </w:r>
          </w:p>
        </w:tc>
        <w:tc>
          <w:tcPr>
            <w:tcW w:w="720" w:type="dxa"/>
          </w:tcPr>
          <w:p w14:paraId="5F04441F" w14:textId="77777777" w:rsidR="00463EDF" w:rsidRPr="008B3585" w:rsidRDefault="00463EDF" w:rsidP="00CB6A4E">
            <w:pPr>
              <w:pStyle w:val="ListParagraph"/>
              <w:ind w:left="0"/>
              <w:rPr>
                <w:sz w:val="20"/>
                <w:szCs w:val="20"/>
              </w:rPr>
            </w:pPr>
          </w:p>
        </w:tc>
        <w:tc>
          <w:tcPr>
            <w:tcW w:w="630" w:type="dxa"/>
            <w:shd w:val="clear" w:color="auto" w:fill="auto"/>
          </w:tcPr>
          <w:p w14:paraId="41B63B6B" w14:textId="77777777" w:rsidR="00463EDF" w:rsidRPr="008B3585" w:rsidRDefault="00463EDF" w:rsidP="00CB6A4E">
            <w:pPr>
              <w:pStyle w:val="ListParagraph"/>
              <w:ind w:left="0"/>
              <w:rPr>
                <w:sz w:val="20"/>
                <w:szCs w:val="20"/>
              </w:rPr>
            </w:pPr>
          </w:p>
        </w:tc>
        <w:tc>
          <w:tcPr>
            <w:tcW w:w="630" w:type="dxa"/>
          </w:tcPr>
          <w:p w14:paraId="07124FC4" w14:textId="77777777" w:rsidR="00463EDF" w:rsidRPr="008B3585" w:rsidRDefault="00463EDF" w:rsidP="00CB6A4E">
            <w:pPr>
              <w:pStyle w:val="ListParagraph"/>
              <w:ind w:left="0"/>
              <w:rPr>
                <w:sz w:val="20"/>
                <w:szCs w:val="20"/>
              </w:rPr>
            </w:pPr>
          </w:p>
        </w:tc>
        <w:tc>
          <w:tcPr>
            <w:tcW w:w="810" w:type="dxa"/>
            <w:shd w:val="clear" w:color="auto" w:fill="7F7F7F" w:themeFill="text1" w:themeFillTint="80"/>
          </w:tcPr>
          <w:p w14:paraId="648AC826" w14:textId="77777777" w:rsidR="00463EDF" w:rsidRPr="008B3585" w:rsidRDefault="00463EDF" w:rsidP="00CB6A4E">
            <w:pPr>
              <w:pStyle w:val="ListParagraph"/>
              <w:ind w:left="0"/>
              <w:rPr>
                <w:sz w:val="20"/>
                <w:szCs w:val="20"/>
              </w:rPr>
            </w:pPr>
            <w:r w:rsidRPr="008B3585">
              <w:rPr>
                <w:sz w:val="20"/>
                <w:szCs w:val="20"/>
              </w:rPr>
              <w:t>County</w:t>
            </w:r>
          </w:p>
        </w:tc>
      </w:tr>
      <w:tr w:rsidR="00463EDF" w:rsidRPr="008B3585" w14:paraId="658A9807" w14:textId="77777777" w:rsidTr="00463EDF">
        <w:tc>
          <w:tcPr>
            <w:tcW w:w="630" w:type="dxa"/>
          </w:tcPr>
          <w:p w14:paraId="54A0DEE2" w14:textId="77777777" w:rsidR="00463EDF" w:rsidRPr="008B3585" w:rsidRDefault="00463EDF" w:rsidP="00CB6A4E">
            <w:pPr>
              <w:pStyle w:val="ListParagraph"/>
              <w:ind w:left="0"/>
              <w:rPr>
                <w:sz w:val="20"/>
                <w:szCs w:val="20"/>
              </w:rPr>
            </w:pPr>
            <w:r w:rsidRPr="008B3585">
              <w:rPr>
                <w:sz w:val="20"/>
                <w:szCs w:val="20"/>
              </w:rPr>
              <w:t>MN</w:t>
            </w:r>
          </w:p>
        </w:tc>
        <w:tc>
          <w:tcPr>
            <w:tcW w:w="720" w:type="dxa"/>
            <w:shd w:val="clear" w:color="auto" w:fill="auto"/>
          </w:tcPr>
          <w:p w14:paraId="77107B55" w14:textId="77777777" w:rsidR="00463EDF" w:rsidRPr="008B3585" w:rsidRDefault="00463EDF" w:rsidP="00CB6A4E">
            <w:pPr>
              <w:pStyle w:val="ListParagraph"/>
              <w:ind w:left="0"/>
              <w:rPr>
                <w:sz w:val="20"/>
                <w:szCs w:val="20"/>
              </w:rPr>
            </w:pPr>
          </w:p>
        </w:tc>
        <w:tc>
          <w:tcPr>
            <w:tcW w:w="1530" w:type="dxa"/>
            <w:shd w:val="clear" w:color="auto" w:fill="auto"/>
          </w:tcPr>
          <w:p w14:paraId="4E586124" w14:textId="77777777" w:rsidR="00463EDF" w:rsidRPr="008B3585" w:rsidRDefault="00463EDF" w:rsidP="00CB6A4E">
            <w:pPr>
              <w:pStyle w:val="ListParagraph"/>
              <w:ind w:left="0"/>
              <w:rPr>
                <w:sz w:val="20"/>
                <w:szCs w:val="20"/>
              </w:rPr>
            </w:pPr>
          </w:p>
        </w:tc>
        <w:tc>
          <w:tcPr>
            <w:tcW w:w="720" w:type="dxa"/>
            <w:shd w:val="clear" w:color="auto" w:fill="auto"/>
          </w:tcPr>
          <w:p w14:paraId="2F938642" w14:textId="77777777" w:rsidR="00463EDF" w:rsidRPr="008B3585" w:rsidRDefault="00463EDF" w:rsidP="00CB6A4E">
            <w:pPr>
              <w:pStyle w:val="ListParagraph"/>
              <w:ind w:left="0"/>
              <w:rPr>
                <w:sz w:val="20"/>
                <w:szCs w:val="20"/>
              </w:rPr>
            </w:pPr>
          </w:p>
        </w:tc>
        <w:tc>
          <w:tcPr>
            <w:tcW w:w="810" w:type="dxa"/>
            <w:shd w:val="clear" w:color="auto" w:fill="auto"/>
          </w:tcPr>
          <w:p w14:paraId="49926632" w14:textId="77777777" w:rsidR="00463EDF" w:rsidRPr="008B3585" w:rsidRDefault="00463EDF" w:rsidP="00CB6A4E">
            <w:pPr>
              <w:pStyle w:val="ListParagraph"/>
              <w:ind w:left="0"/>
              <w:rPr>
                <w:sz w:val="20"/>
                <w:szCs w:val="20"/>
              </w:rPr>
            </w:pPr>
          </w:p>
        </w:tc>
        <w:tc>
          <w:tcPr>
            <w:tcW w:w="720" w:type="dxa"/>
            <w:shd w:val="clear" w:color="auto" w:fill="auto"/>
          </w:tcPr>
          <w:p w14:paraId="10676C4D" w14:textId="77777777" w:rsidR="00463EDF" w:rsidRPr="008B3585" w:rsidRDefault="00463EDF" w:rsidP="00CB6A4E">
            <w:pPr>
              <w:pStyle w:val="ListParagraph"/>
              <w:ind w:left="0"/>
              <w:rPr>
                <w:sz w:val="20"/>
                <w:szCs w:val="20"/>
              </w:rPr>
            </w:pPr>
          </w:p>
        </w:tc>
        <w:tc>
          <w:tcPr>
            <w:tcW w:w="720" w:type="dxa"/>
            <w:shd w:val="clear" w:color="auto" w:fill="7F7F7F" w:themeFill="text1" w:themeFillTint="80"/>
          </w:tcPr>
          <w:p w14:paraId="6AB27B2B" w14:textId="77777777" w:rsidR="00463EDF" w:rsidRPr="008B3585" w:rsidRDefault="00463EDF" w:rsidP="00CB6A4E">
            <w:pPr>
              <w:pStyle w:val="ListParagraph"/>
              <w:ind w:left="0"/>
              <w:rPr>
                <w:sz w:val="20"/>
                <w:szCs w:val="20"/>
              </w:rPr>
            </w:pPr>
          </w:p>
        </w:tc>
        <w:tc>
          <w:tcPr>
            <w:tcW w:w="1530" w:type="dxa"/>
          </w:tcPr>
          <w:p w14:paraId="5C2C1F79" w14:textId="77777777" w:rsidR="00463EDF" w:rsidRPr="008B3585" w:rsidRDefault="00463EDF" w:rsidP="00CB6A4E">
            <w:pPr>
              <w:pStyle w:val="ListParagraph"/>
              <w:ind w:left="0"/>
              <w:rPr>
                <w:sz w:val="20"/>
                <w:szCs w:val="20"/>
              </w:rPr>
            </w:pPr>
          </w:p>
        </w:tc>
        <w:tc>
          <w:tcPr>
            <w:tcW w:w="720" w:type="dxa"/>
            <w:shd w:val="clear" w:color="auto" w:fill="D9D9D9" w:themeFill="background1" w:themeFillShade="D9"/>
          </w:tcPr>
          <w:p w14:paraId="23C052A7" w14:textId="77777777" w:rsidR="00463EDF" w:rsidRPr="008B3585" w:rsidRDefault="00463EDF" w:rsidP="00CB6A4E">
            <w:pPr>
              <w:pStyle w:val="ListParagraph"/>
              <w:ind w:left="0"/>
              <w:rPr>
                <w:sz w:val="20"/>
                <w:szCs w:val="20"/>
              </w:rPr>
            </w:pPr>
            <w:r w:rsidRPr="008B3585">
              <w:rPr>
                <w:sz w:val="20"/>
                <w:szCs w:val="20"/>
              </w:rPr>
              <w:t>**</w:t>
            </w:r>
          </w:p>
        </w:tc>
        <w:tc>
          <w:tcPr>
            <w:tcW w:w="630" w:type="dxa"/>
            <w:shd w:val="clear" w:color="auto" w:fill="7F7F7F" w:themeFill="text1" w:themeFillTint="80"/>
          </w:tcPr>
          <w:p w14:paraId="242FA783" w14:textId="77777777" w:rsidR="00463EDF" w:rsidRPr="008B3585" w:rsidRDefault="00463EDF" w:rsidP="00CB6A4E">
            <w:pPr>
              <w:pStyle w:val="ListParagraph"/>
              <w:ind w:left="0"/>
              <w:rPr>
                <w:sz w:val="20"/>
                <w:szCs w:val="20"/>
              </w:rPr>
            </w:pPr>
            <w:r w:rsidRPr="008B3585">
              <w:rPr>
                <w:sz w:val="20"/>
                <w:szCs w:val="20"/>
              </w:rPr>
              <w:t>**</w:t>
            </w:r>
          </w:p>
        </w:tc>
        <w:tc>
          <w:tcPr>
            <w:tcW w:w="630" w:type="dxa"/>
          </w:tcPr>
          <w:p w14:paraId="533A1412" w14:textId="77777777" w:rsidR="00463EDF" w:rsidRPr="008B3585" w:rsidRDefault="00463EDF" w:rsidP="00CB6A4E">
            <w:pPr>
              <w:pStyle w:val="ListParagraph"/>
              <w:ind w:left="0"/>
              <w:rPr>
                <w:sz w:val="20"/>
                <w:szCs w:val="20"/>
              </w:rPr>
            </w:pPr>
          </w:p>
        </w:tc>
        <w:tc>
          <w:tcPr>
            <w:tcW w:w="810" w:type="dxa"/>
          </w:tcPr>
          <w:p w14:paraId="7620DB51" w14:textId="77777777" w:rsidR="00463EDF" w:rsidRPr="008B3585" w:rsidRDefault="00463EDF" w:rsidP="00CB6A4E">
            <w:pPr>
              <w:pStyle w:val="ListParagraph"/>
              <w:ind w:left="0"/>
              <w:rPr>
                <w:sz w:val="20"/>
                <w:szCs w:val="20"/>
              </w:rPr>
            </w:pPr>
          </w:p>
        </w:tc>
      </w:tr>
      <w:tr w:rsidR="00463EDF" w:rsidRPr="008B3585" w14:paraId="317730CF" w14:textId="77777777" w:rsidTr="00463EDF">
        <w:tc>
          <w:tcPr>
            <w:tcW w:w="630" w:type="dxa"/>
          </w:tcPr>
          <w:p w14:paraId="10F72A13" w14:textId="77777777" w:rsidR="00463EDF" w:rsidRPr="008B3585" w:rsidRDefault="00463EDF" w:rsidP="00CB6A4E">
            <w:pPr>
              <w:pStyle w:val="ListParagraph"/>
              <w:ind w:left="0"/>
              <w:rPr>
                <w:sz w:val="20"/>
                <w:szCs w:val="20"/>
              </w:rPr>
            </w:pPr>
            <w:r w:rsidRPr="008B3585">
              <w:rPr>
                <w:sz w:val="20"/>
                <w:szCs w:val="20"/>
              </w:rPr>
              <w:t>NC</w:t>
            </w:r>
          </w:p>
        </w:tc>
        <w:tc>
          <w:tcPr>
            <w:tcW w:w="720" w:type="dxa"/>
            <w:shd w:val="clear" w:color="auto" w:fill="auto"/>
          </w:tcPr>
          <w:p w14:paraId="1E93A824" w14:textId="77777777" w:rsidR="00463EDF" w:rsidRPr="008B3585" w:rsidRDefault="00463EDF" w:rsidP="00CB6A4E">
            <w:pPr>
              <w:pStyle w:val="ListParagraph"/>
              <w:ind w:left="0"/>
              <w:rPr>
                <w:sz w:val="20"/>
                <w:szCs w:val="20"/>
              </w:rPr>
            </w:pPr>
          </w:p>
        </w:tc>
        <w:tc>
          <w:tcPr>
            <w:tcW w:w="1530" w:type="dxa"/>
            <w:shd w:val="clear" w:color="auto" w:fill="auto"/>
          </w:tcPr>
          <w:p w14:paraId="21A63D07" w14:textId="77777777" w:rsidR="00463EDF" w:rsidRPr="008B3585" w:rsidRDefault="00463EDF" w:rsidP="00CB6A4E">
            <w:pPr>
              <w:pStyle w:val="ListParagraph"/>
              <w:ind w:left="0"/>
              <w:rPr>
                <w:sz w:val="20"/>
                <w:szCs w:val="20"/>
              </w:rPr>
            </w:pPr>
          </w:p>
        </w:tc>
        <w:tc>
          <w:tcPr>
            <w:tcW w:w="720" w:type="dxa"/>
            <w:shd w:val="clear" w:color="auto" w:fill="auto"/>
          </w:tcPr>
          <w:p w14:paraId="0180081E" w14:textId="77777777" w:rsidR="00463EDF" w:rsidRPr="008B3585" w:rsidRDefault="00463EDF" w:rsidP="00CB6A4E">
            <w:pPr>
              <w:pStyle w:val="ListParagraph"/>
              <w:ind w:left="0"/>
              <w:rPr>
                <w:sz w:val="20"/>
                <w:szCs w:val="20"/>
              </w:rPr>
            </w:pPr>
          </w:p>
        </w:tc>
        <w:tc>
          <w:tcPr>
            <w:tcW w:w="810" w:type="dxa"/>
            <w:shd w:val="clear" w:color="auto" w:fill="auto"/>
          </w:tcPr>
          <w:p w14:paraId="27C420D2" w14:textId="77777777" w:rsidR="00463EDF" w:rsidRPr="008B3585" w:rsidRDefault="00463EDF" w:rsidP="00CB6A4E">
            <w:pPr>
              <w:pStyle w:val="ListParagraph"/>
              <w:ind w:left="0"/>
              <w:rPr>
                <w:sz w:val="20"/>
                <w:szCs w:val="20"/>
              </w:rPr>
            </w:pPr>
          </w:p>
        </w:tc>
        <w:tc>
          <w:tcPr>
            <w:tcW w:w="720" w:type="dxa"/>
            <w:shd w:val="clear" w:color="auto" w:fill="7F7F7F" w:themeFill="text1" w:themeFillTint="80"/>
          </w:tcPr>
          <w:p w14:paraId="2A2BDB6D" w14:textId="77777777" w:rsidR="00463EDF" w:rsidRPr="008B3585" w:rsidRDefault="00463EDF" w:rsidP="00CB6A4E">
            <w:pPr>
              <w:pStyle w:val="ListParagraph"/>
              <w:ind w:left="0"/>
              <w:rPr>
                <w:sz w:val="20"/>
                <w:szCs w:val="20"/>
              </w:rPr>
            </w:pPr>
          </w:p>
        </w:tc>
        <w:tc>
          <w:tcPr>
            <w:tcW w:w="720" w:type="dxa"/>
          </w:tcPr>
          <w:p w14:paraId="6F8DC058" w14:textId="77777777" w:rsidR="00463EDF" w:rsidRPr="008B3585" w:rsidRDefault="00463EDF" w:rsidP="00CB6A4E">
            <w:pPr>
              <w:pStyle w:val="ListParagraph"/>
              <w:ind w:left="0"/>
              <w:rPr>
                <w:sz w:val="20"/>
                <w:szCs w:val="20"/>
              </w:rPr>
            </w:pPr>
          </w:p>
        </w:tc>
        <w:tc>
          <w:tcPr>
            <w:tcW w:w="1530" w:type="dxa"/>
          </w:tcPr>
          <w:p w14:paraId="2C18ED10" w14:textId="77777777" w:rsidR="00463EDF" w:rsidRPr="008B3585" w:rsidRDefault="00463EDF" w:rsidP="00CB6A4E">
            <w:pPr>
              <w:pStyle w:val="ListParagraph"/>
              <w:ind w:left="0"/>
              <w:rPr>
                <w:sz w:val="20"/>
                <w:szCs w:val="20"/>
              </w:rPr>
            </w:pPr>
          </w:p>
        </w:tc>
        <w:tc>
          <w:tcPr>
            <w:tcW w:w="720" w:type="dxa"/>
          </w:tcPr>
          <w:p w14:paraId="534B4F0F" w14:textId="77777777" w:rsidR="00463EDF" w:rsidRPr="008B3585" w:rsidRDefault="00463EDF" w:rsidP="00CB6A4E">
            <w:pPr>
              <w:pStyle w:val="ListParagraph"/>
              <w:ind w:left="0"/>
              <w:rPr>
                <w:sz w:val="20"/>
                <w:szCs w:val="20"/>
              </w:rPr>
            </w:pPr>
          </w:p>
        </w:tc>
        <w:tc>
          <w:tcPr>
            <w:tcW w:w="630" w:type="dxa"/>
            <w:shd w:val="clear" w:color="auto" w:fill="7F7F7F" w:themeFill="text1" w:themeFillTint="80"/>
          </w:tcPr>
          <w:p w14:paraId="0B24E0E6" w14:textId="77777777" w:rsidR="00463EDF" w:rsidRPr="008B3585" w:rsidRDefault="00463EDF" w:rsidP="00CB6A4E">
            <w:pPr>
              <w:pStyle w:val="ListParagraph"/>
              <w:ind w:left="0"/>
              <w:rPr>
                <w:sz w:val="20"/>
                <w:szCs w:val="20"/>
              </w:rPr>
            </w:pPr>
          </w:p>
        </w:tc>
        <w:tc>
          <w:tcPr>
            <w:tcW w:w="630" w:type="dxa"/>
          </w:tcPr>
          <w:p w14:paraId="20D480FE" w14:textId="77777777" w:rsidR="00463EDF" w:rsidRPr="008B3585" w:rsidRDefault="00463EDF" w:rsidP="00CB6A4E">
            <w:pPr>
              <w:pStyle w:val="ListParagraph"/>
              <w:ind w:left="0"/>
              <w:rPr>
                <w:sz w:val="20"/>
                <w:szCs w:val="20"/>
              </w:rPr>
            </w:pPr>
          </w:p>
        </w:tc>
        <w:tc>
          <w:tcPr>
            <w:tcW w:w="810" w:type="dxa"/>
          </w:tcPr>
          <w:p w14:paraId="136554E9" w14:textId="77777777" w:rsidR="00463EDF" w:rsidRPr="008B3585" w:rsidRDefault="00463EDF" w:rsidP="00CB6A4E">
            <w:pPr>
              <w:pStyle w:val="ListParagraph"/>
              <w:ind w:left="0"/>
              <w:rPr>
                <w:sz w:val="20"/>
                <w:szCs w:val="20"/>
              </w:rPr>
            </w:pPr>
          </w:p>
        </w:tc>
      </w:tr>
      <w:tr w:rsidR="00463EDF" w:rsidRPr="008B3585" w14:paraId="32D49C3B" w14:textId="77777777" w:rsidTr="00463EDF">
        <w:tc>
          <w:tcPr>
            <w:tcW w:w="630" w:type="dxa"/>
          </w:tcPr>
          <w:p w14:paraId="44983796" w14:textId="77777777" w:rsidR="00463EDF" w:rsidRPr="008B3585" w:rsidRDefault="00463EDF" w:rsidP="00CB6A4E">
            <w:pPr>
              <w:pStyle w:val="ListParagraph"/>
              <w:ind w:left="0"/>
              <w:rPr>
                <w:sz w:val="20"/>
                <w:szCs w:val="20"/>
              </w:rPr>
            </w:pPr>
            <w:r w:rsidRPr="008B3585">
              <w:rPr>
                <w:sz w:val="20"/>
                <w:szCs w:val="20"/>
              </w:rPr>
              <w:t>NY</w:t>
            </w:r>
          </w:p>
        </w:tc>
        <w:tc>
          <w:tcPr>
            <w:tcW w:w="720" w:type="dxa"/>
            <w:shd w:val="clear" w:color="auto" w:fill="auto"/>
          </w:tcPr>
          <w:p w14:paraId="24128971" w14:textId="77777777" w:rsidR="00463EDF" w:rsidRPr="008B3585" w:rsidRDefault="00463EDF" w:rsidP="00CB6A4E">
            <w:pPr>
              <w:pStyle w:val="ListParagraph"/>
              <w:ind w:left="0"/>
              <w:rPr>
                <w:sz w:val="20"/>
                <w:szCs w:val="20"/>
              </w:rPr>
            </w:pPr>
          </w:p>
        </w:tc>
        <w:tc>
          <w:tcPr>
            <w:tcW w:w="1530" w:type="dxa"/>
            <w:shd w:val="clear" w:color="auto" w:fill="7F7F7F" w:themeFill="text1" w:themeFillTint="80"/>
          </w:tcPr>
          <w:p w14:paraId="762F8B6A" w14:textId="77777777" w:rsidR="00463EDF" w:rsidRPr="008B3585" w:rsidRDefault="00463EDF" w:rsidP="00CB6A4E">
            <w:pPr>
              <w:pStyle w:val="ListParagraph"/>
              <w:ind w:left="0"/>
              <w:rPr>
                <w:sz w:val="20"/>
                <w:szCs w:val="20"/>
              </w:rPr>
            </w:pPr>
          </w:p>
        </w:tc>
        <w:tc>
          <w:tcPr>
            <w:tcW w:w="720" w:type="dxa"/>
            <w:shd w:val="clear" w:color="auto" w:fill="7F7F7F" w:themeFill="text1" w:themeFillTint="80"/>
          </w:tcPr>
          <w:p w14:paraId="190459C5" w14:textId="77777777" w:rsidR="00463EDF" w:rsidRPr="008B3585" w:rsidRDefault="00463EDF" w:rsidP="00CB6A4E">
            <w:pPr>
              <w:pStyle w:val="ListParagraph"/>
              <w:ind w:left="0"/>
              <w:rPr>
                <w:sz w:val="20"/>
                <w:szCs w:val="20"/>
              </w:rPr>
            </w:pPr>
          </w:p>
        </w:tc>
        <w:tc>
          <w:tcPr>
            <w:tcW w:w="810" w:type="dxa"/>
            <w:shd w:val="clear" w:color="auto" w:fill="7F7F7F" w:themeFill="text1" w:themeFillTint="80"/>
          </w:tcPr>
          <w:p w14:paraId="56F4A292" w14:textId="77777777" w:rsidR="00463EDF" w:rsidRPr="008B3585" w:rsidRDefault="00463EDF" w:rsidP="00CB6A4E">
            <w:pPr>
              <w:pStyle w:val="ListParagraph"/>
              <w:ind w:left="0"/>
              <w:rPr>
                <w:sz w:val="20"/>
                <w:szCs w:val="20"/>
              </w:rPr>
            </w:pPr>
          </w:p>
        </w:tc>
        <w:tc>
          <w:tcPr>
            <w:tcW w:w="720" w:type="dxa"/>
          </w:tcPr>
          <w:p w14:paraId="020DAA3D" w14:textId="77777777" w:rsidR="00463EDF" w:rsidRPr="008B3585" w:rsidRDefault="00463EDF" w:rsidP="00CB6A4E">
            <w:pPr>
              <w:pStyle w:val="ListParagraph"/>
              <w:ind w:left="0"/>
              <w:rPr>
                <w:sz w:val="20"/>
                <w:szCs w:val="20"/>
              </w:rPr>
            </w:pPr>
          </w:p>
        </w:tc>
        <w:tc>
          <w:tcPr>
            <w:tcW w:w="720" w:type="dxa"/>
            <w:shd w:val="clear" w:color="auto" w:fill="7F7F7F" w:themeFill="text1" w:themeFillTint="80"/>
          </w:tcPr>
          <w:p w14:paraId="6148888D" w14:textId="77777777" w:rsidR="00463EDF" w:rsidRPr="008B3585" w:rsidRDefault="00463EDF" w:rsidP="00CB6A4E">
            <w:pPr>
              <w:pStyle w:val="ListParagraph"/>
              <w:ind w:left="0"/>
              <w:rPr>
                <w:sz w:val="20"/>
                <w:szCs w:val="20"/>
              </w:rPr>
            </w:pPr>
          </w:p>
        </w:tc>
        <w:tc>
          <w:tcPr>
            <w:tcW w:w="1530" w:type="dxa"/>
          </w:tcPr>
          <w:p w14:paraId="36AB7160" w14:textId="77777777" w:rsidR="00463EDF" w:rsidRPr="008B3585" w:rsidRDefault="00463EDF" w:rsidP="00CB6A4E">
            <w:pPr>
              <w:pStyle w:val="ListParagraph"/>
              <w:ind w:left="0"/>
              <w:rPr>
                <w:sz w:val="20"/>
                <w:szCs w:val="20"/>
              </w:rPr>
            </w:pPr>
          </w:p>
        </w:tc>
        <w:tc>
          <w:tcPr>
            <w:tcW w:w="720" w:type="dxa"/>
          </w:tcPr>
          <w:p w14:paraId="6A294CC9" w14:textId="77777777" w:rsidR="00463EDF" w:rsidRPr="008B3585" w:rsidRDefault="00463EDF" w:rsidP="00CB6A4E">
            <w:pPr>
              <w:pStyle w:val="ListParagraph"/>
              <w:ind w:left="0"/>
              <w:rPr>
                <w:sz w:val="20"/>
                <w:szCs w:val="20"/>
              </w:rPr>
            </w:pPr>
          </w:p>
        </w:tc>
        <w:tc>
          <w:tcPr>
            <w:tcW w:w="630" w:type="dxa"/>
          </w:tcPr>
          <w:p w14:paraId="4D739DD9" w14:textId="77777777" w:rsidR="00463EDF" w:rsidRPr="008B3585" w:rsidRDefault="00463EDF" w:rsidP="00CB6A4E">
            <w:pPr>
              <w:pStyle w:val="ListParagraph"/>
              <w:ind w:left="0"/>
              <w:rPr>
                <w:sz w:val="20"/>
                <w:szCs w:val="20"/>
              </w:rPr>
            </w:pPr>
          </w:p>
        </w:tc>
        <w:tc>
          <w:tcPr>
            <w:tcW w:w="630" w:type="dxa"/>
            <w:shd w:val="clear" w:color="auto" w:fill="7F7F7F" w:themeFill="text1" w:themeFillTint="80"/>
          </w:tcPr>
          <w:p w14:paraId="677B7E13" w14:textId="77777777" w:rsidR="00463EDF" w:rsidRPr="008B3585" w:rsidRDefault="00463EDF" w:rsidP="00CB6A4E">
            <w:pPr>
              <w:pStyle w:val="ListParagraph"/>
              <w:ind w:left="0"/>
              <w:rPr>
                <w:sz w:val="20"/>
                <w:szCs w:val="20"/>
              </w:rPr>
            </w:pPr>
          </w:p>
        </w:tc>
        <w:tc>
          <w:tcPr>
            <w:tcW w:w="810" w:type="dxa"/>
            <w:shd w:val="clear" w:color="auto" w:fill="auto"/>
          </w:tcPr>
          <w:p w14:paraId="07A07C7E" w14:textId="77777777" w:rsidR="00463EDF" w:rsidRPr="008B3585" w:rsidRDefault="00463EDF" w:rsidP="00CB6A4E">
            <w:pPr>
              <w:pStyle w:val="ListParagraph"/>
              <w:ind w:left="0"/>
              <w:rPr>
                <w:sz w:val="20"/>
                <w:szCs w:val="20"/>
              </w:rPr>
            </w:pPr>
          </w:p>
        </w:tc>
      </w:tr>
    </w:tbl>
    <w:p w14:paraId="6644FAE0" w14:textId="77777777" w:rsidR="00463EDF" w:rsidRPr="008B3585" w:rsidRDefault="00463EDF" w:rsidP="00463EDF">
      <w:pPr>
        <w:pStyle w:val="NoSpacing"/>
        <w:rPr>
          <w:sz w:val="20"/>
          <w:szCs w:val="20"/>
        </w:rPr>
      </w:pPr>
      <w:r w:rsidRPr="008B3585">
        <w:rPr>
          <w:sz w:val="20"/>
          <w:szCs w:val="20"/>
        </w:rPr>
        <w:t>*Not parcel data but have aerial from 2001 and 2005</w:t>
      </w:r>
    </w:p>
    <w:p w14:paraId="7F594C0C" w14:textId="77777777" w:rsidR="00463EDF" w:rsidRPr="008B3585" w:rsidRDefault="00463EDF" w:rsidP="00463EDF">
      <w:pPr>
        <w:pStyle w:val="NoSpacing"/>
        <w:rPr>
          <w:sz w:val="20"/>
          <w:szCs w:val="20"/>
        </w:rPr>
      </w:pPr>
      <w:r w:rsidRPr="008B3585">
        <w:rPr>
          <w:sz w:val="20"/>
          <w:szCs w:val="20"/>
        </w:rPr>
        <w:t>**Based on July 2010 for all counties, except Washington County (October 2009)</w:t>
      </w:r>
    </w:p>
    <w:p w14:paraId="3CEDA397" w14:textId="77777777" w:rsidR="00463EDF" w:rsidRDefault="00463EDF" w:rsidP="006621BE">
      <w:pPr>
        <w:spacing w:after="120"/>
      </w:pPr>
    </w:p>
    <w:p w14:paraId="48D62144" w14:textId="77777777" w:rsidR="006621BE" w:rsidRDefault="006621BE" w:rsidP="006621BE">
      <w:pPr>
        <w:spacing w:after="120"/>
      </w:pPr>
      <w:r>
        <w:t xml:space="preserve">For each land use file, the parcels were coded into residential, retail, and commercial.  The parcel coding within each file is highly variable in terms of the types of codes and detail available as provided to us.  Coding was standardized as much as possible across time periods and sites to have measures that are comparable.  Coding was based on what type of service the parcel is zoned for.  </w:t>
      </w:r>
      <w:r>
        <w:rPr>
          <w:rFonts w:cs="Times New Roman"/>
        </w:rPr>
        <w:t>Two</w:t>
      </w:r>
      <w:r w:rsidRPr="00FA3AEB">
        <w:rPr>
          <w:rFonts w:cs="Times New Roman"/>
        </w:rPr>
        <w:t xml:space="preserve"> investigator</w:t>
      </w:r>
      <w:r>
        <w:rPr>
          <w:rFonts w:cs="Times New Roman"/>
        </w:rPr>
        <w:t>s simultaneously</w:t>
      </w:r>
      <w:r w:rsidRPr="00FA3AEB">
        <w:rPr>
          <w:rFonts w:cs="Times New Roman"/>
        </w:rPr>
        <w:t xml:space="preserve"> classified </w:t>
      </w:r>
      <w:r>
        <w:rPr>
          <w:rFonts w:cs="Times New Roman"/>
        </w:rPr>
        <w:t xml:space="preserve">parcels into three </w:t>
      </w:r>
      <w:r w:rsidRPr="00FA3AEB">
        <w:rPr>
          <w:rFonts w:cs="Times New Roman"/>
        </w:rPr>
        <w:t xml:space="preserve">non-mutually </w:t>
      </w:r>
      <w:r>
        <w:rPr>
          <w:rFonts w:cs="Times New Roman"/>
        </w:rPr>
        <w:t xml:space="preserve">exclusive categories (retail, commercial, and residential), based on </w:t>
      </w:r>
      <w:r w:rsidRPr="00FA3AEB">
        <w:rPr>
          <w:rFonts w:cs="Times New Roman"/>
        </w:rPr>
        <w:t xml:space="preserve">the land use codes </w:t>
      </w:r>
      <w:r>
        <w:rPr>
          <w:rFonts w:cs="Times New Roman"/>
        </w:rPr>
        <w:t>provided for</w:t>
      </w:r>
      <w:r w:rsidRPr="00FA3AEB">
        <w:rPr>
          <w:rFonts w:cs="Times New Roman"/>
        </w:rPr>
        <w:t xml:space="preserve"> each </w:t>
      </w:r>
      <w:r>
        <w:rPr>
          <w:rFonts w:cs="Times New Roman"/>
        </w:rPr>
        <w:t>study area.</w:t>
      </w:r>
      <w:r w:rsidRPr="00FA3AEB">
        <w:rPr>
          <w:rFonts w:cs="Times New Roman"/>
        </w:rPr>
        <w:t xml:space="preserve"> Three additional investigators verified the classification and resolved disagreements.</w:t>
      </w:r>
      <w:r>
        <w:t xml:space="preserve">  In general, coding rules are as follows:</w:t>
      </w:r>
    </w:p>
    <w:p w14:paraId="59C7073E" w14:textId="77777777" w:rsidR="006621BE" w:rsidRDefault="006621BE" w:rsidP="006621BE">
      <w:pPr>
        <w:pStyle w:val="ListParagraph"/>
        <w:numPr>
          <w:ilvl w:val="0"/>
          <w:numId w:val="16"/>
        </w:numPr>
        <w:spacing w:after="120"/>
      </w:pPr>
      <w:r>
        <w:t>Residential – Land parcels devoted to areas where people can live.  This can include areas that are mixed use.</w:t>
      </w:r>
    </w:p>
    <w:p w14:paraId="436DB1AF" w14:textId="77777777" w:rsidR="006621BE" w:rsidRDefault="006621BE" w:rsidP="006621BE">
      <w:pPr>
        <w:pStyle w:val="ListParagraph"/>
        <w:numPr>
          <w:ilvl w:val="1"/>
          <w:numId w:val="16"/>
        </w:numPr>
        <w:spacing w:after="120"/>
      </w:pPr>
      <w:r>
        <w:t>Any codes that have the term “residential” or “residence” in the name</w:t>
      </w:r>
    </w:p>
    <w:p w14:paraId="62467072" w14:textId="77777777" w:rsidR="006621BE" w:rsidRDefault="006621BE" w:rsidP="006621BE">
      <w:pPr>
        <w:pStyle w:val="ListParagraph"/>
        <w:numPr>
          <w:ilvl w:val="1"/>
          <w:numId w:val="16"/>
        </w:numPr>
        <w:spacing w:after="120"/>
      </w:pPr>
      <w:r>
        <w:t>Single family homes</w:t>
      </w:r>
    </w:p>
    <w:p w14:paraId="4354B881" w14:textId="77777777" w:rsidR="006621BE" w:rsidRDefault="006621BE" w:rsidP="006621BE">
      <w:pPr>
        <w:pStyle w:val="ListParagraph"/>
        <w:numPr>
          <w:ilvl w:val="1"/>
          <w:numId w:val="16"/>
        </w:numPr>
        <w:spacing w:after="120"/>
      </w:pPr>
      <w:r>
        <w:t>Duplex dwellings</w:t>
      </w:r>
    </w:p>
    <w:p w14:paraId="243706B4" w14:textId="77777777" w:rsidR="006621BE" w:rsidRDefault="006621BE" w:rsidP="006621BE">
      <w:pPr>
        <w:pStyle w:val="ListParagraph"/>
        <w:numPr>
          <w:ilvl w:val="1"/>
          <w:numId w:val="16"/>
        </w:numPr>
        <w:spacing w:after="120"/>
      </w:pPr>
      <w:r>
        <w:t>Apartment complex</w:t>
      </w:r>
    </w:p>
    <w:p w14:paraId="6E08F90F" w14:textId="77777777" w:rsidR="006621BE" w:rsidRDefault="006621BE" w:rsidP="006621BE">
      <w:pPr>
        <w:pStyle w:val="ListParagraph"/>
        <w:numPr>
          <w:ilvl w:val="1"/>
          <w:numId w:val="16"/>
        </w:numPr>
        <w:spacing w:after="120"/>
      </w:pPr>
      <w:r>
        <w:t>Condominium</w:t>
      </w:r>
    </w:p>
    <w:p w14:paraId="6947B433" w14:textId="77777777" w:rsidR="006621BE" w:rsidRDefault="006621BE" w:rsidP="006621BE">
      <w:pPr>
        <w:pStyle w:val="ListParagraph"/>
        <w:numPr>
          <w:ilvl w:val="1"/>
          <w:numId w:val="16"/>
        </w:numPr>
        <w:spacing w:after="120"/>
      </w:pPr>
      <w:r>
        <w:t>Mobile Home/Trailer parks</w:t>
      </w:r>
    </w:p>
    <w:p w14:paraId="7ED8FD30" w14:textId="77777777" w:rsidR="006621BE" w:rsidRDefault="006621BE" w:rsidP="006621BE">
      <w:pPr>
        <w:pStyle w:val="ListParagraph"/>
        <w:numPr>
          <w:ilvl w:val="1"/>
          <w:numId w:val="16"/>
        </w:numPr>
        <w:spacing w:after="120"/>
      </w:pPr>
      <w:r>
        <w:t>Assisted Living/Nursing Homes</w:t>
      </w:r>
    </w:p>
    <w:p w14:paraId="65761385" w14:textId="77777777" w:rsidR="006621BE" w:rsidRDefault="006621BE" w:rsidP="006621BE">
      <w:pPr>
        <w:pStyle w:val="ListParagraph"/>
        <w:numPr>
          <w:ilvl w:val="1"/>
          <w:numId w:val="16"/>
        </w:numPr>
        <w:spacing w:after="120"/>
      </w:pPr>
      <w:r>
        <w:t>Rooming Houses</w:t>
      </w:r>
    </w:p>
    <w:p w14:paraId="7DD7C388" w14:textId="77777777" w:rsidR="006621BE" w:rsidRDefault="006621BE" w:rsidP="006621BE">
      <w:pPr>
        <w:pStyle w:val="ListParagraph"/>
        <w:numPr>
          <w:ilvl w:val="1"/>
          <w:numId w:val="16"/>
        </w:numPr>
        <w:spacing w:after="120"/>
      </w:pPr>
      <w:r>
        <w:t>Group Quarters</w:t>
      </w:r>
    </w:p>
    <w:p w14:paraId="59754006" w14:textId="77777777" w:rsidR="006621BE" w:rsidRDefault="006621BE" w:rsidP="006621BE">
      <w:pPr>
        <w:pStyle w:val="ListParagraph"/>
        <w:numPr>
          <w:ilvl w:val="1"/>
          <w:numId w:val="16"/>
        </w:numPr>
        <w:spacing w:after="120"/>
      </w:pPr>
      <w:r>
        <w:lastRenderedPageBreak/>
        <w:t>Farmsteads</w:t>
      </w:r>
    </w:p>
    <w:p w14:paraId="02261D8B" w14:textId="77777777" w:rsidR="006621BE" w:rsidRDefault="006621BE" w:rsidP="006621BE">
      <w:pPr>
        <w:pStyle w:val="ListParagraph"/>
        <w:numPr>
          <w:ilvl w:val="1"/>
          <w:numId w:val="16"/>
        </w:numPr>
        <w:spacing w:after="120"/>
      </w:pPr>
      <w:r>
        <w:t>Seasonal/Vacation homes</w:t>
      </w:r>
    </w:p>
    <w:p w14:paraId="0B481E8A" w14:textId="77777777" w:rsidR="006621BE" w:rsidRDefault="006621BE" w:rsidP="006621BE">
      <w:pPr>
        <w:pStyle w:val="ListParagraph"/>
        <w:numPr>
          <w:ilvl w:val="1"/>
          <w:numId w:val="16"/>
        </w:numPr>
        <w:spacing w:after="120"/>
      </w:pPr>
      <w:r>
        <w:t>Church Residence</w:t>
      </w:r>
    </w:p>
    <w:p w14:paraId="68C83AB9" w14:textId="77777777" w:rsidR="006621BE" w:rsidRDefault="006621BE" w:rsidP="006621BE">
      <w:pPr>
        <w:pStyle w:val="ListParagraph"/>
        <w:numPr>
          <w:ilvl w:val="1"/>
          <w:numId w:val="16"/>
        </w:numPr>
        <w:spacing w:after="120"/>
      </w:pPr>
      <w:r>
        <w:t>Bed and Breakfast (assumed the owners are living here also)</w:t>
      </w:r>
    </w:p>
    <w:p w14:paraId="6481AA94" w14:textId="77777777" w:rsidR="006621BE" w:rsidRDefault="006621BE" w:rsidP="006621BE">
      <w:pPr>
        <w:pStyle w:val="ListParagraph"/>
        <w:numPr>
          <w:ilvl w:val="1"/>
          <w:numId w:val="16"/>
        </w:numPr>
        <w:spacing w:after="120"/>
      </w:pPr>
      <w:r>
        <w:t>NOT INCLUDING: student housing and fraternities.</w:t>
      </w:r>
    </w:p>
    <w:p w14:paraId="5D79E973" w14:textId="77777777" w:rsidR="006621BE" w:rsidRDefault="006621BE" w:rsidP="006621BE">
      <w:pPr>
        <w:pStyle w:val="ListParagraph"/>
        <w:numPr>
          <w:ilvl w:val="0"/>
          <w:numId w:val="16"/>
        </w:numPr>
        <w:spacing w:after="120"/>
      </w:pPr>
      <w:r>
        <w:t xml:space="preserve">Retail – Land parcels devoted to retail uses where people can purchase goods </w:t>
      </w:r>
    </w:p>
    <w:p w14:paraId="28FDBA05" w14:textId="77777777" w:rsidR="006621BE" w:rsidRDefault="006621BE" w:rsidP="006621BE">
      <w:pPr>
        <w:pStyle w:val="ListParagraph"/>
        <w:numPr>
          <w:ilvl w:val="1"/>
          <w:numId w:val="16"/>
        </w:numPr>
        <w:spacing w:after="120"/>
      </w:pPr>
      <w:r>
        <w:t>Any codes that have the term “retail” in the name</w:t>
      </w:r>
    </w:p>
    <w:p w14:paraId="28D6121B" w14:textId="77777777" w:rsidR="006621BE" w:rsidRDefault="006621BE" w:rsidP="006621BE">
      <w:pPr>
        <w:pStyle w:val="ListParagraph"/>
        <w:numPr>
          <w:ilvl w:val="1"/>
          <w:numId w:val="16"/>
        </w:numPr>
        <w:spacing w:after="120"/>
      </w:pPr>
      <w:r>
        <w:t>Shopping Center/Malls</w:t>
      </w:r>
    </w:p>
    <w:p w14:paraId="378169CE" w14:textId="77777777" w:rsidR="006621BE" w:rsidRDefault="006621BE" w:rsidP="006621BE">
      <w:pPr>
        <w:pStyle w:val="ListParagraph"/>
        <w:numPr>
          <w:ilvl w:val="1"/>
          <w:numId w:val="16"/>
        </w:numPr>
        <w:spacing w:after="120"/>
      </w:pPr>
      <w:r>
        <w:t>Food stores</w:t>
      </w:r>
    </w:p>
    <w:p w14:paraId="7AC4CF10" w14:textId="77777777" w:rsidR="006621BE" w:rsidRDefault="006621BE" w:rsidP="006621BE">
      <w:pPr>
        <w:pStyle w:val="ListParagraph"/>
        <w:numPr>
          <w:ilvl w:val="1"/>
          <w:numId w:val="16"/>
        </w:numPr>
        <w:spacing w:after="120"/>
      </w:pPr>
      <w:r>
        <w:t>Convenience stores</w:t>
      </w:r>
    </w:p>
    <w:p w14:paraId="6B4880BC" w14:textId="77777777" w:rsidR="006621BE" w:rsidRDefault="006621BE" w:rsidP="006621BE">
      <w:pPr>
        <w:pStyle w:val="ListParagraph"/>
        <w:numPr>
          <w:ilvl w:val="1"/>
          <w:numId w:val="16"/>
        </w:numPr>
        <w:spacing w:after="120"/>
      </w:pPr>
      <w:r>
        <w:t>Restaurants</w:t>
      </w:r>
    </w:p>
    <w:p w14:paraId="577FAA1A" w14:textId="77777777" w:rsidR="006621BE" w:rsidRDefault="006621BE" w:rsidP="006621BE">
      <w:pPr>
        <w:pStyle w:val="ListParagraph"/>
        <w:numPr>
          <w:ilvl w:val="1"/>
          <w:numId w:val="16"/>
        </w:numPr>
        <w:spacing w:after="120"/>
      </w:pPr>
      <w:r>
        <w:t>Bars/Night clubs</w:t>
      </w:r>
    </w:p>
    <w:p w14:paraId="57AD8062" w14:textId="77777777" w:rsidR="006621BE" w:rsidRDefault="006621BE" w:rsidP="006621BE">
      <w:pPr>
        <w:pStyle w:val="ListParagraph"/>
        <w:numPr>
          <w:ilvl w:val="1"/>
          <w:numId w:val="16"/>
        </w:numPr>
        <w:spacing w:after="120"/>
      </w:pPr>
      <w:r>
        <w:t>Clothing stores</w:t>
      </w:r>
    </w:p>
    <w:p w14:paraId="362320BF" w14:textId="77777777" w:rsidR="006621BE" w:rsidRDefault="006621BE" w:rsidP="006621BE">
      <w:pPr>
        <w:pStyle w:val="ListParagraph"/>
        <w:numPr>
          <w:ilvl w:val="1"/>
          <w:numId w:val="16"/>
        </w:numPr>
        <w:spacing w:after="120"/>
      </w:pPr>
      <w:r>
        <w:t>Mixed use – this was assumed to have at least some retail as part of the land use mix</w:t>
      </w:r>
    </w:p>
    <w:p w14:paraId="7CABFD80" w14:textId="77777777" w:rsidR="006621BE" w:rsidRDefault="006621BE" w:rsidP="006621BE">
      <w:pPr>
        <w:pStyle w:val="ListParagraph"/>
        <w:numPr>
          <w:ilvl w:val="1"/>
          <w:numId w:val="16"/>
        </w:numPr>
        <w:spacing w:after="120"/>
      </w:pPr>
      <w:r>
        <w:t>Combination of commercial and residential – This was assumed that the commercial when mixed with residential contains some retail, because parcels coded as both commercial and residential may represent development that has stores with goods for purchase below residences.</w:t>
      </w:r>
    </w:p>
    <w:p w14:paraId="6D290797" w14:textId="77777777" w:rsidR="006621BE" w:rsidRDefault="006621BE" w:rsidP="006621BE">
      <w:pPr>
        <w:pStyle w:val="ListParagraph"/>
        <w:numPr>
          <w:ilvl w:val="0"/>
          <w:numId w:val="16"/>
        </w:numPr>
        <w:spacing w:after="120"/>
      </w:pPr>
      <w:r>
        <w:t>Commercial – Land parcels devoted to commercial uses where people can either purchase goods or obtain services (professional included)</w:t>
      </w:r>
    </w:p>
    <w:p w14:paraId="5A1521DE" w14:textId="77777777" w:rsidR="006621BE" w:rsidRDefault="006621BE" w:rsidP="006621BE">
      <w:pPr>
        <w:pStyle w:val="ListParagraph"/>
        <w:numPr>
          <w:ilvl w:val="1"/>
          <w:numId w:val="16"/>
        </w:numPr>
        <w:spacing w:after="120"/>
      </w:pPr>
      <w:r>
        <w:t>Any coded as “Retail” above are included</w:t>
      </w:r>
    </w:p>
    <w:p w14:paraId="77C11EC8" w14:textId="77777777" w:rsidR="006621BE" w:rsidRDefault="006621BE" w:rsidP="006621BE">
      <w:pPr>
        <w:pStyle w:val="ListParagraph"/>
        <w:numPr>
          <w:ilvl w:val="1"/>
          <w:numId w:val="16"/>
        </w:numPr>
        <w:spacing w:after="120"/>
      </w:pPr>
      <w:r>
        <w:t>Any codes that have the term “commercial” in the name</w:t>
      </w:r>
    </w:p>
    <w:p w14:paraId="46C6D664" w14:textId="77777777" w:rsidR="006621BE" w:rsidRDefault="006621BE" w:rsidP="006621BE">
      <w:pPr>
        <w:pStyle w:val="ListParagraph"/>
        <w:numPr>
          <w:ilvl w:val="1"/>
          <w:numId w:val="16"/>
        </w:numPr>
        <w:spacing w:after="120"/>
      </w:pPr>
      <w:r>
        <w:t>Trade/Wholesale Trade</w:t>
      </w:r>
    </w:p>
    <w:p w14:paraId="551B9E35" w14:textId="77777777" w:rsidR="006621BE" w:rsidRDefault="006621BE" w:rsidP="006621BE">
      <w:pPr>
        <w:pStyle w:val="ListParagraph"/>
        <w:numPr>
          <w:ilvl w:val="1"/>
          <w:numId w:val="16"/>
        </w:numPr>
        <w:spacing w:after="120"/>
      </w:pPr>
      <w:r>
        <w:t>Finance/Banks</w:t>
      </w:r>
    </w:p>
    <w:p w14:paraId="1F9135F7" w14:textId="77777777" w:rsidR="006621BE" w:rsidRDefault="006621BE" w:rsidP="006621BE">
      <w:pPr>
        <w:pStyle w:val="ListParagraph"/>
        <w:numPr>
          <w:ilvl w:val="1"/>
          <w:numId w:val="16"/>
        </w:numPr>
        <w:spacing w:after="120"/>
      </w:pPr>
      <w:r>
        <w:t>Insurance</w:t>
      </w:r>
    </w:p>
    <w:p w14:paraId="20D00EFD" w14:textId="77777777" w:rsidR="006621BE" w:rsidRDefault="006621BE" w:rsidP="006621BE">
      <w:pPr>
        <w:pStyle w:val="ListParagraph"/>
        <w:numPr>
          <w:ilvl w:val="1"/>
          <w:numId w:val="16"/>
        </w:numPr>
        <w:spacing w:after="120"/>
      </w:pPr>
      <w:r>
        <w:t>Personal services</w:t>
      </w:r>
    </w:p>
    <w:p w14:paraId="68DBB39C" w14:textId="77777777" w:rsidR="006621BE" w:rsidRDefault="006621BE" w:rsidP="006621BE">
      <w:pPr>
        <w:pStyle w:val="ListParagraph"/>
        <w:numPr>
          <w:ilvl w:val="1"/>
          <w:numId w:val="16"/>
        </w:numPr>
        <w:spacing w:after="120"/>
      </w:pPr>
      <w:r>
        <w:t>Theater</w:t>
      </w:r>
    </w:p>
    <w:p w14:paraId="4F864E40" w14:textId="77777777" w:rsidR="006621BE" w:rsidRDefault="006621BE" w:rsidP="006621BE">
      <w:pPr>
        <w:pStyle w:val="ListParagraph"/>
        <w:numPr>
          <w:ilvl w:val="1"/>
          <w:numId w:val="16"/>
        </w:numPr>
        <w:spacing w:after="120"/>
      </w:pPr>
      <w:r>
        <w:t>Office Parks</w:t>
      </w:r>
    </w:p>
    <w:p w14:paraId="6E74BA46" w14:textId="77777777" w:rsidR="006621BE" w:rsidRDefault="006621BE" w:rsidP="006621BE">
      <w:pPr>
        <w:pStyle w:val="ListParagraph"/>
        <w:numPr>
          <w:ilvl w:val="1"/>
          <w:numId w:val="16"/>
        </w:numPr>
        <w:spacing w:after="120"/>
      </w:pPr>
      <w:r>
        <w:t>NOT INCLUDING: hospitals and medical facilities</w:t>
      </w:r>
    </w:p>
    <w:p w14:paraId="0F1B0525" w14:textId="77777777" w:rsidR="006621BE" w:rsidRDefault="006621BE" w:rsidP="006621BE"/>
    <w:p w14:paraId="1AA11DB5" w14:textId="088A99E7" w:rsidR="006621BE" w:rsidRDefault="006621BE" w:rsidP="006621BE">
      <w:r>
        <w:t>Measures for land use include percent retail, percent commercial, and percent residential that falls within participant buffers for ½ and 1 mile and the straight-line (Euclidean) distance to nearest retail and commercial.  Also included are the percent of the participants’ buffers that fall within the jurisdiction where the land use data is available.  The indicators for the percent of area that falls within the jurisdiction is used as indicators for which participants will have usable data for the land use measures.  For these indicators, a value of 1 means the entire buffer is within the land use jurisdiction and a value of 0 means the buffer is completely outside the land use jurisdiction.  Values between 0 and 1 mean that only part of the buffer is within the land use jurisdiction.</w:t>
      </w:r>
    </w:p>
    <w:p w14:paraId="31FD6440" w14:textId="77777777" w:rsidR="006621BE" w:rsidRDefault="006621BE" w:rsidP="006621BE">
      <w:r>
        <w:t>The percent of land use was calculated using the formulas:</w:t>
      </w:r>
    </w:p>
    <w:p w14:paraId="60FBA744" w14:textId="77777777" w:rsidR="006621BE" w:rsidRDefault="006621BE" w:rsidP="006621BE">
      <w:r>
        <w:lastRenderedPageBreak/>
        <w:tab/>
        <w:t>Percent residential = Residential Area in meters square/total area in meters square</w:t>
      </w:r>
    </w:p>
    <w:p w14:paraId="314CC880" w14:textId="77777777" w:rsidR="006621BE" w:rsidRDefault="006621BE" w:rsidP="006621BE">
      <w:r>
        <w:tab/>
        <w:t>Percent retail = Retail Area in meters square/total area in meters square</w:t>
      </w:r>
    </w:p>
    <w:p w14:paraId="758B6E06" w14:textId="69B4A672" w:rsidR="00FF6ADC" w:rsidRDefault="006621BE" w:rsidP="006621BE">
      <w:r>
        <w:tab/>
        <w:t>Percent commercial = Commercial Area in meters square/total area in meters square</w:t>
      </w:r>
    </w:p>
    <w:p w14:paraId="024CB21A" w14:textId="4EC5EAB1" w:rsidR="00CF4AB3" w:rsidRDefault="00190A96" w:rsidP="006621BE">
      <w:r>
        <w:t>The straight-line (Euclidean) distance to the nearest retail and commercial were created.  This gives the distance from the participant’s location to the nearest retail or commercial in terms of “how the crow flies” and does not take into account any road networks.</w:t>
      </w:r>
    </w:p>
    <w:p w14:paraId="6BD8B8F1" w14:textId="2D56F81F" w:rsidR="00B46FBA" w:rsidRDefault="00B46FBA" w:rsidP="00B46FBA">
      <w:pPr>
        <w:spacing w:after="120"/>
      </w:pPr>
      <w:r>
        <w:t xml:space="preserve">To apply the data across time for the MESA exams for longitudinal analyses, since there is data for at least two time points for all study sites, the data will be matched by exam date to the year closest in time.  See </w:t>
      </w:r>
      <w:r w:rsidR="00AC31B0">
        <w:t>Table 3</w:t>
      </w:r>
      <w:r>
        <w:t xml:space="preserve"> for the timeline for how the data is applied by study site.</w:t>
      </w:r>
    </w:p>
    <w:p w14:paraId="16BCE1ED" w14:textId="1BB30EE0" w:rsidR="00F97AD7" w:rsidRPr="006A6421" w:rsidRDefault="00F97AD7" w:rsidP="00F97AD7">
      <w:pPr>
        <w:pStyle w:val="Caption"/>
      </w:pPr>
      <w:r w:rsidRPr="006A6421">
        <w:t xml:space="preserve">Table </w:t>
      </w:r>
      <w:r>
        <w:t>3: Land Use data applied across study years</w:t>
      </w:r>
      <w:r w:rsidRPr="006A6421">
        <w:t>:</w:t>
      </w:r>
    </w:p>
    <w:tbl>
      <w:tblPr>
        <w:tblStyle w:val="TableGrid"/>
        <w:tblW w:w="5000" w:type="pct"/>
        <w:tblLook w:val="04A0" w:firstRow="1" w:lastRow="0" w:firstColumn="1" w:lastColumn="0" w:noHBand="0" w:noVBand="1"/>
      </w:tblPr>
      <w:tblGrid>
        <w:gridCol w:w="1479"/>
        <w:gridCol w:w="622"/>
        <w:gridCol w:w="622"/>
        <w:gridCol w:w="622"/>
        <w:gridCol w:w="311"/>
        <w:gridCol w:w="312"/>
        <w:gridCol w:w="622"/>
        <w:gridCol w:w="312"/>
        <w:gridCol w:w="310"/>
        <w:gridCol w:w="622"/>
        <w:gridCol w:w="622"/>
        <w:gridCol w:w="303"/>
        <w:gridCol w:w="329"/>
        <w:gridCol w:w="622"/>
        <w:gridCol w:w="622"/>
        <w:gridCol w:w="622"/>
        <w:gridCol w:w="622"/>
      </w:tblGrid>
      <w:tr w:rsidR="00F97AD7" w14:paraId="4C20A7B1" w14:textId="77777777" w:rsidTr="00F97AD7">
        <w:trPr>
          <w:tblHeader/>
        </w:trPr>
        <w:tc>
          <w:tcPr>
            <w:tcW w:w="772" w:type="pct"/>
          </w:tcPr>
          <w:p w14:paraId="61BEA726" w14:textId="77777777" w:rsidR="00F97AD7" w:rsidRPr="0056444E" w:rsidRDefault="00F97AD7" w:rsidP="00CB6A4E">
            <w:pPr>
              <w:rPr>
                <w:b/>
                <w:sz w:val="20"/>
                <w:szCs w:val="20"/>
              </w:rPr>
            </w:pPr>
          </w:p>
        </w:tc>
        <w:tc>
          <w:tcPr>
            <w:tcW w:w="325" w:type="pct"/>
          </w:tcPr>
          <w:p w14:paraId="6A1F4BFF" w14:textId="77777777" w:rsidR="00F97AD7" w:rsidRPr="0056444E" w:rsidRDefault="00F97AD7" w:rsidP="00CB6A4E">
            <w:pPr>
              <w:rPr>
                <w:b/>
                <w:sz w:val="20"/>
                <w:szCs w:val="20"/>
              </w:rPr>
            </w:pPr>
            <w:r w:rsidRPr="0056444E">
              <w:rPr>
                <w:b/>
                <w:sz w:val="20"/>
                <w:szCs w:val="20"/>
              </w:rPr>
              <w:t>2000</w:t>
            </w:r>
          </w:p>
        </w:tc>
        <w:tc>
          <w:tcPr>
            <w:tcW w:w="325" w:type="pct"/>
          </w:tcPr>
          <w:p w14:paraId="4DB364C1" w14:textId="77777777" w:rsidR="00F97AD7" w:rsidRPr="0056444E" w:rsidRDefault="00F97AD7" w:rsidP="00CB6A4E">
            <w:pPr>
              <w:rPr>
                <w:b/>
                <w:sz w:val="20"/>
                <w:szCs w:val="20"/>
              </w:rPr>
            </w:pPr>
            <w:r w:rsidRPr="0056444E">
              <w:rPr>
                <w:b/>
                <w:sz w:val="20"/>
                <w:szCs w:val="20"/>
              </w:rPr>
              <w:t>2001</w:t>
            </w:r>
          </w:p>
        </w:tc>
        <w:tc>
          <w:tcPr>
            <w:tcW w:w="325" w:type="pct"/>
          </w:tcPr>
          <w:p w14:paraId="762D2843" w14:textId="77777777" w:rsidR="00F97AD7" w:rsidRPr="0056444E" w:rsidRDefault="00F97AD7" w:rsidP="00CB6A4E">
            <w:pPr>
              <w:rPr>
                <w:b/>
                <w:sz w:val="20"/>
                <w:szCs w:val="20"/>
              </w:rPr>
            </w:pPr>
            <w:r w:rsidRPr="0056444E">
              <w:rPr>
                <w:b/>
                <w:sz w:val="20"/>
                <w:szCs w:val="20"/>
              </w:rPr>
              <w:t>2002</w:t>
            </w:r>
          </w:p>
        </w:tc>
        <w:tc>
          <w:tcPr>
            <w:tcW w:w="325" w:type="pct"/>
            <w:gridSpan w:val="2"/>
          </w:tcPr>
          <w:p w14:paraId="3D6E7E9D" w14:textId="77777777" w:rsidR="00F97AD7" w:rsidRPr="0056444E" w:rsidRDefault="00F97AD7" w:rsidP="00CB6A4E">
            <w:pPr>
              <w:rPr>
                <w:b/>
                <w:sz w:val="20"/>
                <w:szCs w:val="20"/>
              </w:rPr>
            </w:pPr>
            <w:r w:rsidRPr="0056444E">
              <w:rPr>
                <w:b/>
                <w:sz w:val="20"/>
                <w:szCs w:val="20"/>
              </w:rPr>
              <w:t>2003</w:t>
            </w:r>
          </w:p>
        </w:tc>
        <w:tc>
          <w:tcPr>
            <w:tcW w:w="325" w:type="pct"/>
          </w:tcPr>
          <w:p w14:paraId="52FC12A5" w14:textId="77777777" w:rsidR="00F97AD7" w:rsidRPr="0056444E" w:rsidRDefault="00F97AD7" w:rsidP="00CB6A4E">
            <w:pPr>
              <w:rPr>
                <w:b/>
                <w:sz w:val="20"/>
                <w:szCs w:val="20"/>
              </w:rPr>
            </w:pPr>
            <w:r w:rsidRPr="0056444E">
              <w:rPr>
                <w:b/>
                <w:sz w:val="20"/>
                <w:szCs w:val="20"/>
              </w:rPr>
              <w:t>2004</w:t>
            </w:r>
          </w:p>
        </w:tc>
        <w:tc>
          <w:tcPr>
            <w:tcW w:w="325" w:type="pct"/>
            <w:gridSpan w:val="2"/>
          </w:tcPr>
          <w:p w14:paraId="2B6413F7" w14:textId="77777777" w:rsidR="00F97AD7" w:rsidRPr="0056444E" w:rsidRDefault="00F97AD7" w:rsidP="00CB6A4E">
            <w:pPr>
              <w:rPr>
                <w:b/>
                <w:sz w:val="20"/>
                <w:szCs w:val="20"/>
              </w:rPr>
            </w:pPr>
            <w:r w:rsidRPr="0056444E">
              <w:rPr>
                <w:b/>
                <w:sz w:val="20"/>
                <w:szCs w:val="20"/>
              </w:rPr>
              <w:t>2005</w:t>
            </w:r>
          </w:p>
        </w:tc>
        <w:tc>
          <w:tcPr>
            <w:tcW w:w="325" w:type="pct"/>
          </w:tcPr>
          <w:p w14:paraId="395EC445" w14:textId="77777777" w:rsidR="00F97AD7" w:rsidRPr="0056444E" w:rsidRDefault="00F97AD7" w:rsidP="00CB6A4E">
            <w:pPr>
              <w:rPr>
                <w:b/>
                <w:sz w:val="20"/>
                <w:szCs w:val="20"/>
              </w:rPr>
            </w:pPr>
            <w:r w:rsidRPr="0056444E">
              <w:rPr>
                <w:b/>
                <w:sz w:val="20"/>
                <w:szCs w:val="20"/>
              </w:rPr>
              <w:t>2006</w:t>
            </w:r>
          </w:p>
        </w:tc>
        <w:tc>
          <w:tcPr>
            <w:tcW w:w="325" w:type="pct"/>
          </w:tcPr>
          <w:p w14:paraId="039C673B" w14:textId="77777777" w:rsidR="00F97AD7" w:rsidRPr="0056444E" w:rsidRDefault="00F97AD7" w:rsidP="00CB6A4E">
            <w:pPr>
              <w:rPr>
                <w:b/>
                <w:sz w:val="20"/>
                <w:szCs w:val="20"/>
              </w:rPr>
            </w:pPr>
            <w:r w:rsidRPr="0056444E">
              <w:rPr>
                <w:b/>
                <w:sz w:val="20"/>
                <w:szCs w:val="20"/>
              </w:rPr>
              <w:t>2007</w:t>
            </w:r>
          </w:p>
        </w:tc>
        <w:tc>
          <w:tcPr>
            <w:tcW w:w="329" w:type="pct"/>
            <w:gridSpan w:val="2"/>
          </w:tcPr>
          <w:p w14:paraId="223105F2" w14:textId="77777777" w:rsidR="00F97AD7" w:rsidRPr="0056444E" w:rsidRDefault="00F97AD7" w:rsidP="00CB6A4E">
            <w:pPr>
              <w:rPr>
                <w:b/>
                <w:sz w:val="20"/>
                <w:szCs w:val="20"/>
              </w:rPr>
            </w:pPr>
            <w:r w:rsidRPr="0056444E">
              <w:rPr>
                <w:b/>
                <w:sz w:val="20"/>
                <w:szCs w:val="20"/>
              </w:rPr>
              <w:t>2008</w:t>
            </w:r>
          </w:p>
        </w:tc>
        <w:tc>
          <w:tcPr>
            <w:tcW w:w="325" w:type="pct"/>
          </w:tcPr>
          <w:p w14:paraId="4DBDE1A4" w14:textId="77777777" w:rsidR="00F97AD7" w:rsidRPr="0056444E" w:rsidRDefault="00F97AD7" w:rsidP="00CB6A4E">
            <w:pPr>
              <w:rPr>
                <w:b/>
                <w:sz w:val="20"/>
                <w:szCs w:val="20"/>
              </w:rPr>
            </w:pPr>
            <w:r w:rsidRPr="0056444E">
              <w:rPr>
                <w:b/>
                <w:sz w:val="20"/>
                <w:szCs w:val="20"/>
              </w:rPr>
              <w:t>2009</w:t>
            </w:r>
          </w:p>
        </w:tc>
        <w:tc>
          <w:tcPr>
            <w:tcW w:w="325" w:type="pct"/>
          </w:tcPr>
          <w:p w14:paraId="08862A6C" w14:textId="77777777" w:rsidR="00F97AD7" w:rsidRPr="0056444E" w:rsidRDefault="00F97AD7" w:rsidP="00CB6A4E">
            <w:pPr>
              <w:rPr>
                <w:b/>
                <w:sz w:val="20"/>
                <w:szCs w:val="20"/>
              </w:rPr>
            </w:pPr>
            <w:r w:rsidRPr="0056444E">
              <w:rPr>
                <w:b/>
                <w:sz w:val="20"/>
                <w:szCs w:val="20"/>
              </w:rPr>
              <w:t>2010</w:t>
            </w:r>
          </w:p>
        </w:tc>
        <w:tc>
          <w:tcPr>
            <w:tcW w:w="325" w:type="pct"/>
          </w:tcPr>
          <w:p w14:paraId="1E161C8C" w14:textId="77777777" w:rsidR="00F97AD7" w:rsidRPr="0056444E" w:rsidRDefault="00F97AD7" w:rsidP="00CB6A4E">
            <w:pPr>
              <w:rPr>
                <w:b/>
                <w:sz w:val="20"/>
                <w:szCs w:val="20"/>
              </w:rPr>
            </w:pPr>
            <w:r w:rsidRPr="0056444E">
              <w:rPr>
                <w:b/>
                <w:sz w:val="20"/>
                <w:szCs w:val="20"/>
              </w:rPr>
              <w:t>2011</w:t>
            </w:r>
          </w:p>
        </w:tc>
        <w:tc>
          <w:tcPr>
            <w:tcW w:w="325" w:type="pct"/>
          </w:tcPr>
          <w:p w14:paraId="5151D9E3" w14:textId="77777777" w:rsidR="00F97AD7" w:rsidRPr="0056444E" w:rsidRDefault="00F97AD7" w:rsidP="00CB6A4E">
            <w:pPr>
              <w:rPr>
                <w:b/>
                <w:sz w:val="20"/>
                <w:szCs w:val="20"/>
              </w:rPr>
            </w:pPr>
            <w:r>
              <w:rPr>
                <w:b/>
                <w:sz w:val="20"/>
                <w:szCs w:val="20"/>
              </w:rPr>
              <w:t>2012</w:t>
            </w:r>
          </w:p>
        </w:tc>
      </w:tr>
      <w:tr w:rsidR="00F97AD7" w14:paraId="5295A2E4" w14:textId="77777777" w:rsidTr="00F97AD7">
        <w:tc>
          <w:tcPr>
            <w:tcW w:w="772" w:type="pct"/>
          </w:tcPr>
          <w:p w14:paraId="1B5443F2" w14:textId="5A30C05B" w:rsidR="00F97AD7" w:rsidRDefault="00F97AD7" w:rsidP="00CB6A4E">
            <w:pPr>
              <w:rPr>
                <w:b/>
                <w:sz w:val="20"/>
                <w:szCs w:val="20"/>
              </w:rPr>
            </w:pPr>
            <w:r>
              <w:rPr>
                <w:b/>
                <w:sz w:val="20"/>
                <w:szCs w:val="20"/>
              </w:rPr>
              <w:t>Land Use CA</w:t>
            </w:r>
          </w:p>
        </w:tc>
        <w:tc>
          <w:tcPr>
            <w:tcW w:w="1137" w:type="pct"/>
            <w:gridSpan w:val="4"/>
            <w:shd w:val="clear" w:color="auto" w:fill="C6D9F1" w:themeFill="text2" w:themeFillTint="33"/>
          </w:tcPr>
          <w:p w14:paraId="0ABF65C5" w14:textId="77777777" w:rsidR="00F97AD7" w:rsidRPr="0056444E" w:rsidRDefault="00F97AD7" w:rsidP="00CB6A4E">
            <w:pPr>
              <w:rPr>
                <w:b/>
                <w:sz w:val="20"/>
                <w:szCs w:val="20"/>
              </w:rPr>
            </w:pPr>
            <w:r>
              <w:rPr>
                <w:b/>
                <w:sz w:val="20"/>
                <w:szCs w:val="20"/>
              </w:rPr>
              <w:t>2001 data</w:t>
            </w:r>
          </w:p>
        </w:tc>
        <w:tc>
          <w:tcPr>
            <w:tcW w:w="1137" w:type="pct"/>
            <w:gridSpan w:val="5"/>
            <w:shd w:val="clear" w:color="auto" w:fill="F2DBDB" w:themeFill="accent2" w:themeFillTint="33"/>
          </w:tcPr>
          <w:p w14:paraId="6BAFFBA6" w14:textId="77777777" w:rsidR="00F97AD7" w:rsidRPr="0056444E" w:rsidRDefault="00F97AD7" w:rsidP="00CB6A4E">
            <w:pPr>
              <w:rPr>
                <w:b/>
                <w:sz w:val="20"/>
                <w:szCs w:val="20"/>
              </w:rPr>
            </w:pPr>
            <w:r>
              <w:rPr>
                <w:b/>
                <w:sz w:val="20"/>
                <w:szCs w:val="20"/>
              </w:rPr>
              <w:t>2005 data</w:t>
            </w:r>
          </w:p>
        </w:tc>
        <w:tc>
          <w:tcPr>
            <w:tcW w:w="1954" w:type="pct"/>
            <w:gridSpan w:val="7"/>
            <w:shd w:val="clear" w:color="auto" w:fill="EAF1DD" w:themeFill="accent3" w:themeFillTint="33"/>
          </w:tcPr>
          <w:p w14:paraId="5955FB46" w14:textId="77777777" w:rsidR="00F97AD7" w:rsidRDefault="00F97AD7" w:rsidP="00CB6A4E">
            <w:pPr>
              <w:rPr>
                <w:b/>
                <w:sz w:val="20"/>
                <w:szCs w:val="20"/>
              </w:rPr>
            </w:pPr>
            <w:r>
              <w:rPr>
                <w:b/>
                <w:sz w:val="20"/>
                <w:szCs w:val="20"/>
              </w:rPr>
              <w:t>2008 data</w:t>
            </w:r>
          </w:p>
        </w:tc>
      </w:tr>
      <w:tr w:rsidR="00F97AD7" w14:paraId="7C8E0EFC" w14:textId="77777777" w:rsidTr="00F97AD7">
        <w:tc>
          <w:tcPr>
            <w:tcW w:w="772" w:type="pct"/>
          </w:tcPr>
          <w:p w14:paraId="5196E556" w14:textId="4B2A4DA4" w:rsidR="00F97AD7" w:rsidRDefault="00F97AD7" w:rsidP="00CB6A4E">
            <w:pPr>
              <w:rPr>
                <w:b/>
                <w:sz w:val="20"/>
                <w:szCs w:val="20"/>
              </w:rPr>
            </w:pPr>
            <w:r>
              <w:rPr>
                <w:b/>
                <w:sz w:val="20"/>
                <w:szCs w:val="20"/>
              </w:rPr>
              <w:t>Land Use IL</w:t>
            </w:r>
          </w:p>
        </w:tc>
        <w:tc>
          <w:tcPr>
            <w:tcW w:w="1137" w:type="pct"/>
            <w:gridSpan w:val="4"/>
            <w:shd w:val="clear" w:color="auto" w:fill="C6D9F1" w:themeFill="text2" w:themeFillTint="33"/>
          </w:tcPr>
          <w:p w14:paraId="24E8EC49" w14:textId="77777777" w:rsidR="00F97AD7" w:rsidRPr="0056444E" w:rsidRDefault="00F97AD7" w:rsidP="00CB6A4E">
            <w:pPr>
              <w:rPr>
                <w:b/>
                <w:sz w:val="20"/>
                <w:szCs w:val="20"/>
              </w:rPr>
            </w:pPr>
            <w:r>
              <w:rPr>
                <w:b/>
                <w:sz w:val="20"/>
                <w:szCs w:val="20"/>
              </w:rPr>
              <w:t>2001 data</w:t>
            </w:r>
          </w:p>
        </w:tc>
        <w:tc>
          <w:tcPr>
            <w:tcW w:w="3092" w:type="pct"/>
            <w:gridSpan w:val="12"/>
            <w:shd w:val="clear" w:color="auto" w:fill="F2DBDB" w:themeFill="accent2" w:themeFillTint="33"/>
          </w:tcPr>
          <w:p w14:paraId="16BD7068" w14:textId="77777777" w:rsidR="00F97AD7" w:rsidRDefault="00F97AD7" w:rsidP="00CB6A4E">
            <w:pPr>
              <w:rPr>
                <w:b/>
                <w:sz w:val="20"/>
                <w:szCs w:val="20"/>
              </w:rPr>
            </w:pPr>
            <w:r>
              <w:rPr>
                <w:b/>
                <w:sz w:val="20"/>
                <w:szCs w:val="20"/>
              </w:rPr>
              <w:t>2005 data</w:t>
            </w:r>
          </w:p>
        </w:tc>
      </w:tr>
      <w:tr w:rsidR="00F97AD7" w14:paraId="6AFD3475" w14:textId="77777777" w:rsidTr="00F97AD7">
        <w:tc>
          <w:tcPr>
            <w:tcW w:w="772" w:type="pct"/>
          </w:tcPr>
          <w:p w14:paraId="70E1C524" w14:textId="7933F094" w:rsidR="00F97AD7" w:rsidRDefault="00F97AD7" w:rsidP="00CB6A4E">
            <w:pPr>
              <w:rPr>
                <w:b/>
                <w:sz w:val="20"/>
                <w:szCs w:val="20"/>
              </w:rPr>
            </w:pPr>
            <w:r>
              <w:rPr>
                <w:b/>
                <w:sz w:val="20"/>
                <w:szCs w:val="20"/>
              </w:rPr>
              <w:t>Land Use MD</w:t>
            </w:r>
          </w:p>
        </w:tc>
        <w:tc>
          <w:tcPr>
            <w:tcW w:w="1787" w:type="pct"/>
            <w:gridSpan w:val="7"/>
            <w:shd w:val="clear" w:color="auto" w:fill="C6D9F1" w:themeFill="text2" w:themeFillTint="33"/>
          </w:tcPr>
          <w:p w14:paraId="2054EFFD" w14:textId="77777777" w:rsidR="00F97AD7" w:rsidRPr="0056444E" w:rsidRDefault="00F97AD7" w:rsidP="00CB6A4E">
            <w:pPr>
              <w:rPr>
                <w:b/>
                <w:sz w:val="20"/>
                <w:szCs w:val="20"/>
              </w:rPr>
            </w:pPr>
            <w:r>
              <w:rPr>
                <w:b/>
                <w:sz w:val="20"/>
                <w:szCs w:val="20"/>
              </w:rPr>
              <w:t>2002 data</w:t>
            </w:r>
          </w:p>
        </w:tc>
        <w:tc>
          <w:tcPr>
            <w:tcW w:w="2442" w:type="pct"/>
            <w:gridSpan w:val="9"/>
            <w:shd w:val="clear" w:color="auto" w:fill="F2DBDB" w:themeFill="accent2" w:themeFillTint="33"/>
          </w:tcPr>
          <w:p w14:paraId="758784C3" w14:textId="77777777" w:rsidR="00F97AD7" w:rsidRDefault="00F97AD7" w:rsidP="00CB6A4E">
            <w:pPr>
              <w:rPr>
                <w:b/>
                <w:sz w:val="20"/>
                <w:szCs w:val="20"/>
              </w:rPr>
            </w:pPr>
            <w:r>
              <w:rPr>
                <w:b/>
                <w:sz w:val="20"/>
                <w:szCs w:val="20"/>
              </w:rPr>
              <w:t>2008 data</w:t>
            </w:r>
          </w:p>
        </w:tc>
      </w:tr>
      <w:tr w:rsidR="00F97AD7" w14:paraId="037F351B" w14:textId="77777777" w:rsidTr="00F97AD7">
        <w:tc>
          <w:tcPr>
            <w:tcW w:w="772" w:type="pct"/>
          </w:tcPr>
          <w:p w14:paraId="0ED263DE" w14:textId="1F179517" w:rsidR="00F97AD7" w:rsidRDefault="00F97AD7" w:rsidP="00CB6A4E">
            <w:pPr>
              <w:rPr>
                <w:b/>
                <w:sz w:val="20"/>
                <w:szCs w:val="20"/>
              </w:rPr>
            </w:pPr>
            <w:r>
              <w:rPr>
                <w:b/>
                <w:sz w:val="20"/>
                <w:szCs w:val="20"/>
              </w:rPr>
              <w:t>Land Use MN</w:t>
            </w:r>
          </w:p>
        </w:tc>
        <w:tc>
          <w:tcPr>
            <w:tcW w:w="2758" w:type="pct"/>
            <w:gridSpan w:val="11"/>
            <w:shd w:val="clear" w:color="auto" w:fill="C6D9F1" w:themeFill="text2" w:themeFillTint="33"/>
          </w:tcPr>
          <w:p w14:paraId="384DFCC3" w14:textId="77777777" w:rsidR="00F97AD7" w:rsidRPr="0056444E" w:rsidRDefault="00F97AD7" w:rsidP="00CB6A4E">
            <w:pPr>
              <w:rPr>
                <w:b/>
                <w:sz w:val="20"/>
                <w:szCs w:val="20"/>
              </w:rPr>
            </w:pPr>
            <w:r>
              <w:rPr>
                <w:b/>
                <w:sz w:val="20"/>
                <w:szCs w:val="20"/>
              </w:rPr>
              <w:t>2006 data</w:t>
            </w:r>
          </w:p>
        </w:tc>
        <w:tc>
          <w:tcPr>
            <w:tcW w:w="1470" w:type="pct"/>
            <w:gridSpan w:val="5"/>
            <w:shd w:val="clear" w:color="auto" w:fill="F2DBDB" w:themeFill="accent2" w:themeFillTint="33"/>
          </w:tcPr>
          <w:p w14:paraId="22E698C3" w14:textId="77777777" w:rsidR="00F97AD7" w:rsidRDefault="00F97AD7" w:rsidP="00CB6A4E">
            <w:pPr>
              <w:rPr>
                <w:b/>
                <w:sz w:val="20"/>
                <w:szCs w:val="20"/>
              </w:rPr>
            </w:pPr>
            <w:r>
              <w:rPr>
                <w:b/>
                <w:sz w:val="20"/>
                <w:szCs w:val="20"/>
              </w:rPr>
              <w:t>2010 data</w:t>
            </w:r>
          </w:p>
        </w:tc>
      </w:tr>
      <w:tr w:rsidR="00F97AD7" w14:paraId="28170615" w14:textId="77777777" w:rsidTr="00F97AD7">
        <w:tc>
          <w:tcPr>
            <w:tcW w:w="772" w:type="pct"/>
          </w:tcPr>
          <w:p w14:paraId="12449B0A" w14:textId="234A537A" w:rsidR="00F97AD7" w:rsidRDefault="00F97AD7" w:rsidP="00CB6A4E">
            <w:pPr>
              <w:rPr>
                <w:b/>
                <w:sz w:val="20"/>
                <w:szCs w:val="20"/>
              </w:rPr>
            </w:pPr>
            <w:r>
              <w:rPr>
                <w:b/>
                <w:sz w:val="20"/>
                <w:szCs w:val="20"/>
              </w:rPr>
              <w:t>Land Use NC</w:t>
            </w:r>
          </w:p>
        </w:tc>
        <w:tc>
          <w:tcPr>
            <w:tcW w:w="1787" w:type="pct"/>
            <w:gridSpan w:val="7"/>
            <w:shd w:val="clear" w:color="auto" w:fill="C6D9F1" w:themeFill="text2" w:themeFillTint="33"/>
          </w:tcPr>
          <w:p w14:paraId="6CFC86C0" w14:textId="77777777" w:rsidR="00F97AD7" w:rsidRPr="0056444E" w:rsidRDefault="00F97AD7" w:rsidP="00CB6A4E">
            <w:pPr>
              <w:rPr>
                <w:b/>
                <w:sz w:val="20"/>
                <w:szCs w:val="20"/>
              </w:rPr>
            </w:pPr>
            <w:r>
              <w:rPr>
                <w:b/>
                <w:sz w:val="20"/>
                <w:szCs w:val="20"/>
              </w:rPr>
              <w:t>2005 data</w:t>
            </w:r>
          </w:p>
        </w:tc>
        <w:tc>
          <w:tcPr>
            <w:tcW w:w="2442" w:type="pct"/>
            <w:gridSpan w:val="9"/>
            <w:shd w:val="clear" w:color="auto" w:fill="F2DBDB" w:themeFill="accent2" w:themeFillTint="33"/>
          </w:tcPr>
          <w:p w14:paraId="2ECA75D4" w14:textId="77777777" w:rsidR="00F97AD7" w:rsidRDefault="00F97AD7" w:rsidP="00CB6A4E">
            <w:pPr>
              <w:rPr>
                <w:b/>
                <w:sz w:val="20"/>
                <w:szCs w:val="20"/>
              </w:rPr>
            </w:pPr>
            <w:r>
              <w:rPr>
                <w:b/>
                <w:sz w:val="20"/>
                <w:szCs w:val="20"/>
              </w:rPr>
              <w:t>2010 data</w:t>
            </w:r>
          </w:p>
        </w:tc>
      </w:tr>
      <w:tr w:rsidR="00F97AD7" w14:paraId="6A1A01E5" w14:textId="77777777" w:rsidTr="00F97AD7">
        <w:tc>
          <w:tcPr>
            <w:tcW w:w="772" w:type="pct"/>
          </w:tcPr>
          <w:p w14:paraId="165112B9" w14:textId="5CDC3A1C" w:rsidR="00F97AD7" w:rsidRDefault="00F97AD7" w:rsidP="00CB6A4E">
            <w:pPr>
              <w:rPr>
                <w:b/>
                <w:sz w:val="20"/>
                <w:szCs w:val="20"/>
              </w:rPr>
            </w:pPr>
            <w:r>
              <w:rPr>
                <w:b/>
                <w:sz w:val="20"/>
                <w:szCs w:val="20"/>
              </w:rPr>
              <w:t>Land Use NY</w:t>
            </w:r>
          </w:p>
        </w:tc>
        <w:tc>
          <w:tcPr>
            <w:tcW w:w="974" w:type="pct"/>
            <w:gridSpan w:val="3"/>
            <w:shd w:val="clear" w:color="auto" w:fill="C6D9F1" w:themeFill="text2" w:themeFillTint="33"/>
          </w:tcPr>
          <w:p w14:paraId="3F47F46F" w14:textId="77777777" w:rsidR="00F97AD7" w:rsidRPr="0056444E" w:rsidRDefault="00F97AD7" w:rsidP="00CB6A4E">
            <w:pPr>
              <w:rPr>
                <w:b/>
                <w:sz w:val="20"/>
                <w:szCs w:val="20"/>
              </w:rPr>
            </w:pPr>
            <w:r>
              <w:rPr>
                <w:b/>
                <w:sz w:val="20"/>
                <w:szCs w:val="20"/>
              </w:rPr>
              <w:t>2002 data</w:t>
            </w:r>
          </w:p>
        </w:tc>
        <w:tc>
          <w:tcPr>
            <w:tcW w:w="325" w:type="pct"/>
            <w:gridSpan w:val="2"/>
            <w:shd w:val="clear" w:color="auto" w:fill="F2DBDB" w:themeFill="accent2" w:themeFillTint="33"/>
          </w:tcPr>
          <w:p w14:paraId="46792D20" w14:textId="77777777" w:rsidR="00F97AD7" w:rsidRPr="0056444E" w:rsidRDefault="00F97AD7" w:rsidP="00CB6A4E">
            <w:pPr>
              <w:rPr>
                <w:b/>
                <w:sz w:val="20"/>
                <w:szCs w:val="20"/>
              </w:rPr>
            </w:pPr>
            <w:r>
              <w:rPr>
                <w:b/>
                <w:sz w:val="20"/>
                <w:szCs w:val="20"/>
              </w:rPr>
              <w:t>2003 data</w:t>
            </w:r>
          </w:p>
        </w:tc>
        <w:tc>
          <w:tcPr>
            <w:tcW w:w="488" w:type="pct"/>
            <w:gridSpan w:val="2"/>
            <w:shd w:val="clear" w:color="auto" w:fill="EAF1DD" w:themeFill="accent3" w:themeFillTint="33"/>
          </w:tcPr>
          <w:p w14:paraId="31C5068F" w14:textId="77777777" w:rsidR="00F97AD7" w:rsidRPr="0056444E" w:rsidRDefault="00F97AD7" w:rsidP="00CB6A4E">
            <w:pPr>
              <w:rPr>
                <w:b/>
                <w:sz w:val="20"/>
                <w:szCs w:val="20"/>
              </w:rPr>
            </w:pPr>
            <w:r>
              <w:rPr>
                <w:b/>
                <w:sz w:val="20"/>
                <w:szCs w:val="20"/>
              </w:rPr>
              <w:t>2004 data</w:t>
            </w:r>
          </w:p>
        </w:tc>
        <w:tc>
          <w:tcPr>
            <w:tcW w:w="1142" w:type="pct"/>
            <w:gridSpan w:val="5"/>
            <w:shd w:val="clear" w:color="auto" w:fill="E5DFEC" w:themeFill="accent4" w:themeFillTint="33"/>
          </w:tcPr>
          <w:p w14:paraId="6E995EEF" w14:textId="77777777" w:rsidR="00F97AD7" w:rsidRPr="0056444E" w:rsidRDefault="00F97AD7" w:rsidP="00CB6A4E">
            <w:pPr>
              <w:rPr>
                <w:b/>
                <w:sz w:val="20"/>
                <w:szCs w:val="20"/>
              </w:rPr>
            </w:pPr>
            <w:r>
              <w:rPr>
                <w:b/>
                <w:sz w:val="20"/>
                <w:szCs w:val="20"/>
              </w:rPr>
              <w:t>2006 data</w:t>
            </w:r>
          </w:p>
        </w:tc>
        <w:tc>
          <w:tcPr>
            <w:tcW w:w="1300" w:type="pct"/>
            <w:gridSpan w:val="4"/>
            <w:shd w:val="clear" w:color="auto" w:fill="FDE9D9" w:themeFill="accent6" w:themeFillTint="33"/>
          </w:tcPr>
          <w:p w14:paraId="0CDBDF81" w14:textId="77777777" w:rsidR="00F97AD7" w:rsidRDefault="00F97AD7" w:rsidP="00CB6A4E">
            <w:pPr>
              <w:rPr>
                <w:b/>
                <w:sz w:val="20"/>
                <w:szCs w:val="20"/>
              </w:rPr>
            </w:pPr>
            <w:r>
              <w:rPr>
                <w:b/>
                <w:sz w:val="20"/>
                <w:szCs w:val="20"/>
              </w:rPr>
              <w:t>2011 data</w:t>
            </w:r>
          </w:p>
        </w:tc>
      </w:tr>
    </w:tbl>
    <w:p w14:paraId="05EE5778" w14:textId="77777777" w:rsidR="00B46FBA" w:rsidRDefault="00B46FBA" w:rsidP="006621BE"/>
    <w:p w14:paraId="21668C0C" w14:textId="009764A6" w:rsidR="00CF4AB3" w:rsidRPr="00AB585A" w:rsidRDefault="00CF4AB3" w:rsidP="00CF4AB3">
      <w:pPr>
        <w:pStyle w:val="Heading2"/>
      </w:pPr>
      <w:r>
        <w:t>Public Transportation</w:t>
      </w:r>
    </w:p>
    <w:p w14:paraId="12A03D4D" w14:textId="7143164B" w:rsidR="00CF4AB3" w:rsidRDefault="00CF4AB3" w:rsidP="00CF4AB3">
      <w:r>
        <w:t>Distances to nearest train/subway stops and bus lines were calculated based on public transit files obtained through various government sources.  These are available for the 6 main MESA study sites (Los Angeles, CA; Chicago, IL; Baltimore, MD; St Paul, MN; Forsyth County, NC; and New York, NY).  The unit of measure for these variables is in meters.  The Near Tool in ArcGIS 10.1 was used to identify the nearest transportation station or route to the participant’s address using a 300 mile search radius.  These measures are only available for participants who fall within the land use counties where data was collected.  If the address is outside the counties, then the data will be missing.</w:t>
      </w:r>
    </w:p>
    <w:p w14:paraId="285C616E" w14:textId="528FF813" w:rsidR="00CF4AB3" w:rsidRDefault="00CF4AB3" w:rsidP="00CF4AB3">
      <w:pPr>
        <w:spacing w:after="120"/>
      </w:pPr>
      <w:r>
        <w:t>To apply the data across time for the MESA exams for longitudinal analyses, for sites that only have data available at one year, that year will be applied to all exams.  For sites where there is more than one year available, the data will be matched by exam date to the year closest in time.</w:t>
      </w:r>
      <w:r w:rsidR="005661C5">
        <w:t xml:space="preserve"> See Table 4 for how data was applied across study years.</w:t>
      </w:r>
    </w:p>
    <w:p w14:paraId="2CB7639E" w14:textId="7B12841C" w:rsidR="00CF4AB3" w:rsidRDefault="00CF4AB3" w:rsidP="00CF4AB3">
      <w:r>
        <w:t xml:space="preserve">For MN, the Hiawatha commuter rail train line came into existence in 2004.  Prior to this year, there was no commuter rail available in this area.  Daniel Rodriguez had suggested when applying the data longitudinally to the MESA exams, any exams which took place prior to 2004 should be assigned the maximum of any participant using the 2009 train line data.  After further thought, it was decided to give these dates before 2004 an indicator value of “9999999” rather than the maximum.  We felt that using an indicator for whether they have a train or not would be better since using the maximum would not </w:t>
      </w:r>
      <w:r>
        <w:lastRenderedPageBreak/>
        <w:t>be interpretable and we wanted to discourage analysts from trying to have a measure they would want to interpret.</w:t>
      </w:r>
    </w:p>
    <w:p w14:paraId="1DFB5CF8" w14:textId="77777777" w:rsidR="00F27DE6" w:rsidRPr="00F27DE6" w:rsidRDefault="00F27DE6" w:rsidP="00F27DE6">
      <w:pPr>
        <w:spacing w:after="120"/>
      </w:pPr>
      <w:r w:rsidRPr="00F27DE6">
        <w:t>Overall Summary of Public Transportation Data Available and Used in Transportation Measures:</w:t>
      </w:r>
    </w:p>
    <w:p w14:paraId="4F2A4659" w14:textId="77777777" w:rsidR="00F27DE6" w:rsidRPr="007D632B" w:rsidRDefault="00F27DE6" w:rsidP="00F27DE6">
      <w:pPr>
        <w:pStyle w:val="ListParagraph"/>
        <w:numPr>
          <w:ilvl w:val="0"/>
          <w:numId w:val="18"/>
        </w:numPr>
        <w:spacing w:after="120"/>
      </w:pPr>
      <w:r w:rsidRPr="007D632B">
        <w:rPr>
          <w:b/>
        </w:rPr>
        <w:t>CA:</w:t>
      </w:r>
      <w:r w:rsidRPr="007D632B">
        <w:t xml:space="preserve"> Bus routes (2005, 2007, 2010, 2012); Rail stops (2006, 2010, 2012); Metrolink Stops (2004)</w:t>
      </w:r>
    </w:p>
    <w:p w14:paraId="23D99D46" w14:textId="77777777" w:rsidR="00F27DE6" w:rsidRPr="007D632B" w:rsidRDefault="00F27DE6" w:rsidP="00F27DE6">
      <w:pPr>
        <w:pStyle w:val="ListParagraph"/>
        <w:numPr>
          <w:ilvl w:val="0"/>
          <w:numId w:val="18"/>
        </w:numPr>
        <w:spacing w:after="120"/>
      </w:pPr>
      <w:r w:rsidRPr="007D632B">
        <w:rPr>
          <w:b/>
        </w:rPr>
        <w:t>IL:</w:t>
      </w:r>
      <w:r w:rsidRPr="007D632B">
        <w:t xml:space="preserve"> Bus routes (2005); CTA stations (2005); Metra Stations (2005)</w:t>
      </w:r>
    </w:p>
    <w:p w14:paraId="6E735135" w14:textId="77777777" w:rsidR="00F27DE6" w:rsidRPr="007D632B" w:rsidRDefault="00F27DE6" w:rsidP="00F27DE6">
      <w:pPr>
        <w:pStyle w:val="ListParagraph"/>
        <w:numPr>
          <w:ilvl w:val="0"/>
          <w:numId w:val="18"/>
        </w:numPr>
        <w:spacing w:after="120"/>
      </w:pPr>
      <w:r w:rsidRPr="007D632B">
        <w:rPr>
          <w:b/>
        </w:rPr>
        <w:t>MD :</w:t>
      </w:r>
      <w:r w:rsidRPr="007D632B">
        <w:t xml:space="preserve"> City bus routes (2009); charm city circulator routes  (2009); light rail stations (2007); railroad (2007); subway station (2007); Train station (2007)</w:t>
      </w:r>
    </w:p>
    <w:p w14:paraId="58FF42BB" w14:textId="77777777" w:rsidR="00F27DE6" w:rsidRPr="007D632B" w:rsidRDefault="00F27DE6" w:rsidP="00F27DE6">
      <w:pPr>
        <w:pStyle w:val="ListParagraph"/>
        <w:numPr>
          <w:ilvl w:val="0"/>
          <w:numId w:val="18"/>
        </w:numPr>
        <w:spacing w:after="120"/>
      </w:pPr>
      <w:r w:rsidRPr="007D632B">
        <w:rPr>
          <w:b/>
        </w:rPr>
        <w:t>MN:</w:t>
      </w:r>
      <w:r w:rsidRPr="007D632B">
        <w:t xml:space="preserve"> Bus routes (2005 &amp; 2009); Light rail (200</w:t>
      </w:r>
      <w:r>
        <w:t>9)</w:t>
      </w:r>
    </w:p>
    <w:p w14:paraId="53AFF01A" w14:textId="77777777" w:rsidR="00F27DE6" w:rsidRPr="007D632B" w:rsidRDefault="00F27DE6" w:rsidP="00F27DE6">
      <w:pPr>
        <w:pStyle w:val="ListParagraph"/>
        <w:numPr>
          <w:ilvl w:val="0"/>
          <w:numId w:val="18"/>
        </w:numPr>
        <w:spacing w:after="120"/>
      </w:pPr>
      <w:r w:rsidRPr="007D632B">
        <w:rPr>
          <w:b/>
        </w:rPr>
        <w:t>NC:</w:t>
      </w:r>
      <w:r>
        <w:t xml:space="preserve"> Bus routes (2001 &amp; 2009)</w:t>
      </w:r>
    </w:p>
    <w:p w14:paraId="1F9AEC11" w14:textId="77777777" w:rsidR="00F27DE6" w:rsidRPr="007D632B" w:rsidRDefault="00F27DE6" w:rsidP="00F27DE6">
      <w:pPr>
        <w:pStyle w:val="ListParagraph"/>
        <w:numPr>
          <w:ilvl w:val="0"/>
          <w:numId w:val="18"/>
        </w:numPr>
        <w:spacing w:after="120"/>
      </w:pPr>
      <w:r w:rsidRPr="007D632B">
        <w:rPr>
          <w:b/>
        </w:rPr>
        <w:t>NY:</w:t>
      </w:r>
      <w:r w:rsidRPr="007D632B">
        <w:t xml:space="preserve"> Bus routes (2010); Subway </w:t>
      </w:r>
      <w:r>
        <w:t>Stations</w:t>
      </w:r>
      <w:r w:rsidRPr="007D632B">
        <w:t xml:space="preserve"> (2010)</w:t>
      </w:r>
    </w:p>
    <w:p w14:paraId="65663B3C" w14:textId="77777777" w:rsidR="00F27DE6" w:rsidRDefault="00F27DE6" w:rsidP="00CF4AB3"/>
    <w:p w14:paraId="1E59BC93" w14:textId="2427F402" w:rsidR="005661C5" w:rsidRPr="006A6421" w:rsidRDefault="005661C5" w:rsidP="005661C5">
      <w:pPr>
        <w:pStyle w:val="Caption"/>
      </w:pPr>
      <w:r w:rsidRPr="006A6421">
        <w:t xml:space="preserve">Table </w:t>
      </w:r>
      <w:r>
        <w:t>4: Public transportation data applied across study years</w:t>
      </w:r>
      <w:r w:rsidRPr="006A6421">
        <w:t>:</w:t>
      </w:r>
    </w:p>
    <w:tbl>
      <w:tblPr>
        <w:tblStyle w:val="TableGrid"/>
        <w:tblW w:w="5000" w:type="pct"/>
        <w:tblLook w:val="04A0" w:firstRow="1" w:lastRow="0" w:firstColumn="1" w:lastColumn="0" w:noHBand="0" w:noVBand="1"/>
      </w:tblPr>
      <w:tblGrid>
        <w:gridCol w:w="1486"/>
        <w:gridCol w:w="622"/>
        <w:gridCol w:w="622"/>
        <w:gridCol w:w="622"/>
        <w:gridCol w:w="622"/>
        <w:gridCol w:w="622"/>
        <w:gridCol w:w="622"/>
        <w:gridCol w:w="305"/>
        <w:gridCol w:w="318"/>
        <w:gridCol w:w="305"/>
        <w:gridCol w:w="318"/>
        <w:gridCol w:w="305"/>
        <w:gridCol w:w="318"/>
        <w:gridCol w:w="622"/>
        <w:gridCol w:w="622"/>
        <w:gridCol w:w="311"/>
        <w:gridCol w:w="312"/>
        <w:gridCol w:w="622"/>
      </w:tblGrid>
      <w:tr w:rsidR="005661C5" w14:paraId="5438F60D" w14:textId="77777777" w:rsidTr="005661C5">
        <w:trPr>
          <w:tblHeader/>
        </w:trPr>
        <w:tc>
          <w:tcPr>
            <w:tcW w:w="776" w:type="pct"/>
          </w:tcPr>
          <w:p w14:paraId="1BE97849" w14:textId="77777777" w:rsidR="005661C5" w:rsidRPr="0056444E" w:rsidRDefault="005661C5" w:rsidP="00CB6A4E">
            <w:pPr>
              <w:rPr>
                <w:b/>
                <w:sz w:val="20"/>
                <w:szCs w:val="20"/>
              </w:rPr>
            </w:pPr>
          </w:p>
        </w:tc>
        <w:tc>
          <w:tcPr>
            <w:tcW w:w="325" w:type="pct"/>
          </w:tcPr>
          <w:p w14:paraId="66B84F2D" w14:textId="77777777" w:rsidR="005661C5" w:rsidRPr="0056444E" w:rsidRDefault="005661C5" w:rsidP="00CB6A4E">
            <w:pPr>
              <w:rPr>
                <w:b/>
                <w:sz w:val="20"/>
                <w:szCs w:val="20"/>
              </w:rPr>
            </w:pPr>
            <w:r w:rsidRPr="0056444E">
              <w:rPr>
                <w:b/>
                <w:sz w:val="20"/>
                <w:szCs w:val="20"/>
              </w:rPr>
              <w:t>2000</w:t>
            </w:r>
          </w:p>
        </w:tc>
        <w:tc>
          <w:tcPr>
            <w:tcW w:w="325" w:type="pct"/>
          </w:tcPr>
          <w:p w14:paraId="47C25633" w14:textId="77777777" w:rsidR="005661C5" w:rsidRPr="0056444E" w:rsidRDefault="005661C5" w:rsidP="00CB6A4E">
            <w:pPr>
              <w:rPr>
                <w:b/>
                <w:sz w:val="20"/>
                <w:szCs w:val="20"/>
              </w:rPr>
            </w:pPr>
            <w:r w:rsidRPr="0056444E">
              <w:rPr>
                <w:b/>
                <w:sz w:val="20"/>
                <w:szCs w:val="20"/>
              </w:rPr>
              <w:t>2001</w:t>
            </w:r>
          </w:p>
        </w:tc>
        <w:tc>
          <w:tcPr>
            <w:tcW w:w="325" w:type="pct"/>
          </w:tcPr>
          <w:p w14:paraId="0571CF1A" w14:textId="77777777" w:rsidR="005661C5" w:rsidRPr="0056444E" w:rsidRDefault="005661C5" w:rsidP="00CB6A4E">
            <w:pPr>
              <w:rPr>
                <w:b/>
                <w:sz w:val="20"/>
                <w:szCs w:val="20"/>
              </w:rPr>
            </w:pPr>
            <w:r w:rsidRPr="0056444E">
              <w:rPr>
                <w:b/>
                <w:sz w:val="20"/>
                <w:szCs w:val="20"/>
              </w:rPr>
              <w:t>2002</w:t>
            </w:r>
          </w:p>
        </w:tc>
        <w:tc>
          <w:tcPr>
            <w:tcW w:w="325" w:type="pct"/>
          </w:tcPr>
          <w:p w14:paraId="7A22D37C" w14:textId="77777777" w:rsidR="005661C5" w:rsidRPr="0056444E" w:rsidRDefault="005661C5" w:rsidP="00CB6A4E">
            <w:pPr>
              <w:rPr>
                <w:b/>
                <w:sz w:val="20"/>
                <w:szCs w:val="20"/>
              </w:rPr>
            </w:pPr>
            <w:r w:rsidRPr="0056444E">
              <w:rPr>
                <w:b/>
                <w:sz w:val="20"/>
                <w:szCs w:val="20"/>
              </w:rPr>
              <w:t>2003</w:t>
            </w:r>
          </w:p>
        </w:tc>
        <w:tc>
          <w:tcPr>
            <w:tcW w:w="325" w:type="pct"/>
          </w:tcPr>
          <w:p w14:paraId="25184159" w14:textId="77777777" w:rsidR="005661C5" w:rsidRPr="0056444E" w:rsidRDefault="005661C5" w:rsidP="00CB6A4E">
            <w:pPr>
              <w:rPr>
                <w:b/>
                <w:sz w:val="20"/>
                <w:szCs w:val="20"/>
              </w:rPr>
            </w:pPr>
            <w:r w:rsidRPr="0056444E">
              <w:rPr>
                <w:b/>
                <w:sz w:val="20"/>
                <w:szCs w:val="20"/>
              </w:rPr>
              <w:t>2004</w:t>
            </w:r>
          </w:p>
        </w:tc>
        <w:tc>
          <w:tcPr>
            <w:tcW w:w="325" w:type="pct"/>
          </w:tcPr>
          <w:p w14:paraId="2E8FAC34" w14:textId="77777777" w:rsidR="005661C5" w:rsidRPr="0056444E" w:rsidRDefault="005661C5" w:rsidP="00CB6A4E">
            <w:pPr>
              <w:rPr>
                <w:b/>
                <w:sz w:val="20"/>
                <w:szCs w:val="20"/>
              </w:rPr>
            </w:pPr>
            <w:r w:rsidRPr="0056444E">
              <w:rPr>
                <w:b/>
                <w:sz w:val="20"/>
                <w:szCs w:val="20"/>
              </w:rPr>
              <w:t>2005</w:t>
            </w:r>
          </w:p>
        </w:tc>
        <w:tc>
          <w:tcPr>
            <w:tcW w:w="325" w:type="pct"/>
            <w:gridSpan w:val="2"/>
          </w:tcPr>
          <w:p w14:paraId="58CE1B8F" w14:textId="77777777" w:rsidR="005661C5" w:rsidRPr="0056444E" w:rsidRDefault="005661C5" w:rsidP="00CB6A4E">
            <w:pPr>
              <w:rPr>
                <w:b/>
                <w:sz w:val="20"/>
                <w:szCs w:val="20"/>
              </w:rPr>
            </w:pPr>
            <w:r w:rsidRPr="0056444E">
              <w:rPr>
                <w:b/>
                <w:sz w:val="20"/>
                <w:szCs w:val="20"/>
              </w:rPr>
              <w:t>2006</w:t>
            </w:r>
          </w:p>
        </w:tc>
        <w:tc>
          <w:tcPr>
            <w:tcW w:w="325" w:type="pct"/>
            <w:gridSpan w:val="2"/>
          </w:tcPr>
          <w:p w14:paraId="76042087" w14:textId="77777777" w:rsidR="005661C5" w:rsidRPr="0056444E" w:rsidRDefault="005661C5" w:rsidP="00CB6A4E">
            <w:pPr>
              <w:rPr>
                <w:b/>
                <w:sz w:val="20"/>
                <w:szCs w:val="20"/>
              </w:rPr>
            </w:pPr>
            <w:r w:rsidRPr="0056444E">
              <w:rPr>
                <w:b/>
                <w:sz w:val="20"/>
                <w:szCs w:val="20"/>
              </w:rPr>
              <w:t>2007</w:t>
            </w:r>
          </w:p>
        </w:tc>
        <w:tc>
          <w:tcPr>
            <w:tcW w:w="325" w:type="pct"/>
            <w:gridSpan w:val="2"/>
          </w:tcPr>
          <w:p w14:paraId="1760C43F" w14:textId="77777777" w:rsidR="005661C5" w:rsidRPr="0056444E" w:rsidRDefault="005661C5" w:rsidP="00CB6A4E">
            <w:pPr>
              <w:rPr>
                <w:b/>
                <w:sz w:val="20"/>
                <w:szCs w:val="20"/>
              </w:rPr>
            </w:pPr>
            <w:r w:rsidRPr="0056444E">
              <w:rPr>
                <w:b/>
                <w:sz w:val="20"/>
                <w:szCs w:val="20"/>
              </w:rPr>
              <w:t>2008</w:t>
            </w:r>
          </w:p>
        </w:tc>
        <w:tc>
          <w:tcPr>
            <w:tcW w:w="325" w:type="pct"/>
          </w:tcPr>
          <w:p w14:paraId="76555942" w14:textId="77777777" w:rsidR="005661C5" w:rsidRPr="0056444E" w:rsidRDefault="005661C5" w:rsidP="00CB6A4E">
            <w:pPr>
              <w:rPr>
                <w:b/>
                <w:sz w:val="20"/>
                <w:szCs w:val="20"/>
              </w:rPr>
            </w:pPr>
            <w:r w:rsidRPr="0056444E">
              <w:rPr>
                <w:b/>
                <w:sz w:val="20"/>
                <w:szCs w:val="20"/>
              </w:rPr>
              <w:t>2009</w:t>
            </w:r>
          </w:p>
        </w:tc>
        <w:tc>
          <w:tcPr>
            <w:tcW w:w="325" w:type="pct"/>
          </w:tcPr>
          <w:p w14:paraId="434E37E8" w14:textId="77777777" w:rsidR="005661C5" w:rsidRPr="0056444E" w:rsidRDefault="005661C5" w:rsidP="00CB6A4E">
            <w:pPr>
              <w:rPr>
                <w:b/>
                <w:sz w:val="20"/>
                <w:szCs w:val="20"/>
              </w:rPr>
            </w:pPr>
            <w:r w:rsidRPr="0056444E">
              <w:rPr>
                <w:b/>
                <w:sz w:val="20"/>
                <w:szCs w:val="20"/>
              </w:rPr>
              <w:t>2010</w:t>
            </w:r>
          </w:p>
        </w:tc>
        <w:tc>
          <w:tcPr>
            <w:tcW w:w="325" w:type="pct"/>
            <w:gridSpan w:val="2"/>
          </w:tcPr>
          <w:p w14:paraId="2AC38D95" w14:textId="77777777" w:rsidR="005661C5" w:rsidRPr="0056444E" w:rsidRDefault="005661C5" w:rsidP="00CB6A4E">
            <w:pPr>
              <w:rPr>
                <w:b/>
                <w:sz w:val="20"/>
                <w:szCs w:val="20"/>
              </w:rPr>
            </w:pPr>
            <w:r w:rsidRPr="0056444E">
              <w:rPr>
                <w:b/>
                <w:sz w:val="20"/>
                <w:szCs w:val="20"/>
              </w:rPr>
              <w:t>2011</w:t>
            </w:r>
          </w:p>
        </w:tc>
        <w:tc>
          <w:tcPr>
            <w:tcW w:w="325" w:type="pct"/>
          </w:tcPr>
          <w:p w14:paraId="2B1B5FDA" w14:textId="77777777" w:rsidR="005661C5" w:rsidRPr="0056444E" w:rsidRDefault="005661C5" w:rsidP="00CB6A4E">
            <w:pPr>
              <w:rPr>
                <w:b/>
                <w:sz w:val="20"/>
                <w:szCs w:val="20"/>
              </w:rPr>
            </w:pPr>
            <w:r>
              <w:rPr>
                <w:b/>
                <w:sz w:val="20"/>
                <w:szCs w:val="20"/>
              </w:rPr>
              <w:t>2012</w:t>
            </w:r>
          </w:p>
        </w:tc>
      </w:tr>
      <w:tr w:rsidR="005661C5" w14:paraId="5BFC898D" w14:textId="77777777" w:rsidTr="005661C5">
        <w:tc>
          <w:tcPr>
            <w:tcW w:w="776" w:type="pct"/>
          </w:tcPr>
          <w:p w14:paraId="045B8E2A" w14:textId="24E639FB" w:rsidR="005661C5" w:rsidRDefault="005661C5" w:rsidP="00CB6A4E">
            <w:pPr>
              <w:rPr>
                <w:b/>
                <w:sz w:val="20"/>
                <w:szCs w:val="20"/>
              </w:rPr>
            </w:pPr>
            <w:r>
              <w:rPr>
                <w:b/>
                <w:sz w:val="20"/>
                <w:szCs w:val="20"/>
              </w:rPr>
              <w:t>Bus CA</w:t>
            </w:r>
          </w:p>
        </w:tc>
        <w:tc>
          <w:tcPr>
            <w:tcW w:w="2109" w:type="pct"/>
            <w:gridSpan w:val="7"/>
            <w:shd w:val="clear" w:color="auto" w:fill="C6D9F1" w:themeFill="text2" w:themeFillTint="33"/>
          </w:tcPr>
          <w:p w14:paraId="4769A2D2" w14:textId="77777777" w:rsidR="005661C5" w:rsidRPr="0056444E" w:rsidRDefault="005661C5" w:rsidP="00CB6A4E">
            <w:pPr>
              <w:rPr>
                <w:b/>
                <w:sz w:val="20"/>
                <w:szCs w:val="20"/>
              </w:rPr>
            </w:pPr>
            <w:r>
              <w:rPr>
                <w:b/>
                <w:sz w:val="20"/>
                <w:szCs w:val="20"/>
              </w:rPr>
              <w:t>2005 data</w:t>
            </w:r>
          </w:p>
        </w:tc>
        <w:tc>
          <w:tcPr>
            <w:tcW w:w="815" w:type="pct"/>
            <w:gridSpan w:val="5"/>
            <w:shd w:val="clear" w:color="auto" w:fill="F2DBDB" w:themeFill="accent2" w:themeFillTint="33"/>
          </w:tcPr>
          <w:p w14:paraId="3A9829A8" w14:textId="77777777" w:rsidR="005661C5" w:rsidRPr="0056444E" w:rsidRDefault="005661C5" w:rsidP="00CB6A4E">
            <w:pPr>
              <w:rPr>
                <w:b/>
                <w:sz w:val="20"/>
                <w:szCs w:val="20"/>
              </w:rPr>
            </w:pPr>
            <w:r>
              <w:rPr>
                <w:b/>
                <w:sz w:val="20"/>
                <w:szCs w:val="20"/>
              </w:rPr>
              <w:t>2007 data</w:t>
            </w:r>
          </w:p>
        </w:tc>
        <w:tc>
          <w:tcPr>
            <w:tcW w:w="812" w:type="pct"/>
            <w:gridSpan w:val="3"/>
            <w:shd w:val="clear" w:color="auto" w:fill="EAF1DD" w:themeFill="accent3" w:themeFillTint="33"/>
          </w:tcPr>
          <w:p w14:paraId="7A82E3ED" w14:textId="77777777" w:rsidR="005661C5" w:rsidRDefault="005661C5" w:rsidP="00CB6A4E">
            <w:pPr>
              <w:rPr>
                <w:b/>
                <w:sz w:val="20"/>
                <w:szCs w:val="20"/>
              </w:rPr>
            </w:pPr>
            <w:r>
              <w:rPr>
                <w:b/>
                <w:sz w:val="20"/>
                <w:szCs w:val="20"/>
              </w:rPr>
              <w:t>2010 data</w:t>
            </w:r>
          </w:p>
        </w:tc>
        <w:tc>
          <w:tcPr>
            <w:tcW w:w="488" w:type="pct"/>
            <w:gridSpan w:val="2"/>
            <w:shd w:val="clear" w:color="auto" w:fill="E5DFEC" w:themeFill="accent4" w:themeFillTint="33"/>
          </w:tcPr>
          <w:p w14:paraId="0A6EE965" w14:textId="77777777" w:rsidR="005661C5" w:rsidRDefault="005661C5" w:rsidP="00CB6A4E">
            <w:pPr>
              <w:rPr>
                <w:b/>
                <w:sz w:val="20"/>
                <w:szCs w:val="20"/>
              </w:rPr>
            </w:pPr>
            <w:r>
              <w:rPr>
                <w:b/>
                <w:sz w:val="20"/>
                <w:szCs w:val="20"/>
              </w:rPr>
              <w:t>2012 data</w:t>
            </w:r>
          </w:p>
        </w:tc>
      </w:tr>
      <w:tr w:rsidR="005661C5" w14:paraId="6402625F" w14:textId="77777777" w:rsidTr="005661C5">
        <w:tc>
          <w:tcPr>
            <w:tcW w:w="776" w:type="pct"/>
          </w:tcPr>
          <w:p w14:paraId="0235D977" w14:textId="4700EA31" w:rsidR="005661C5" w:rsidRDefault="005661C5" w:rsidP="00CB6A4E">
            <w:pPr>
              <w:rPr>
                <w:b/>
                <w:sz w:val="20"/>
                <w:szCs w:val="20"/>
              </w:rPr>
            </w:pPr>
            <w:r>
              <w:rPr>
                <w:b/>
                <w:sz w:val="20"/>
                <w:szCs w:val="20"/>
              </w:rPr>
              <w:t>Bus IL</w:t>
            </w:r>
          </w:p>
        </w:tc>
        <w:tc>
          <w:tcPr>
            <w:tcW w:w="4224" w:type="pct"/>
            <w:gridSpan w:val="17"/>
            <w:shd w:val="clear" w:color="auto" w:fill="C6D9F1" w:themeFill="text2" w:themeFillTint="33"/>
          </w:tcPr>
          <w:p w14:paraId="66E46BA4" w14:textId="77777777" w:rsidR="005661C5" w:rsidRDefault="005661C5" w:rsidP="00CB6A4E">
            <w:pPr>
              <w:rPr>
                <w:b/>
                <w:sz w:val="20"/>
                <w:szCs w:val="20"/>
              </w:rPr>
            </w:pPr>
            <w:r>
              <w:rPr>
                <w:b/>
                <w:sz w:val="20"/>
                <w:szCs w:val="20"/>
              </w:rPr>
              <w:t>2005 data</w:t>
            </w:r>
          </w:p>
        </w:tc>
      </w:tr>
      <w:tr w:rsidR="005661C5" w14:paraId="1AE61989" w14:textId="77777777" w:rsidTr="005661C5">
        <w:tc>
          <w:tcPr>
            <w:tcW w:w="776" w:type="pct"/>
          </w:tcPr>
          <w:p w14:paraId="4A84C7A7" w14:textId="0EA912A6" w:rsidR="005661C5" w:rsidRDefault="005661C5" w:rsidP="00CB6A4E">
            <w:pPr>
              <w:rPr>
                <w:b/>
                <w:sz w:val="20"/>
                <w:szCs w:val="20"/>
              </w:rPr>
            </w:pPr>
            <w:r>
              <w:rPr>
                <w:b/>
                <w:sz w:val="20"/>
                <w:szCs w:val="20"/>
              </w:rPr>
              <w:t>Bus MD</w:t>
            </w:r>
          </w:p>
        </w:tc>
        <w:tc>
          <w:tcPr>
            <w:tcW w:w="4224" w:type="pct"/>
            <w:gridSpan w:val="17"/>
            <w:shd w:val="clear" w:color="auto" w:fill="C6D9F1" w:themeFill="text2" w:themeFillTint="33"/>
          </w:tcPr>
          <w:p w14:paraId="62EC3625" w14:textId="77777777" w:rsidR="005661C5" w:rsidRDefault="005661C5" w:rsidP="00CB6A4E">
            <w:pPr>
              <w:rPr>
                <w:b/>
                <w:sz w:val="20"/>
                <w:szCs w:val="20"/>
              </w:rPr>
            </w:pPr>
            <w:r>
              <w:rPr>
                <w:b/>
                <w:sz w:val="20"/>
                <w:szCs w:val="20"/>
              </w:rPr>
              <w:t>2009 data</w:t>
            </w:r>
          </w:p>
        </w:tc>
      </w:tr>
      <w:tr w:rsidR="005661C5" w14:paraId="1F08D113" w14:textId="77777777" w:rsidTr="005661C5">
        <w:tc>
          <w:tcPr>
            <w:tcW w:w="776" w:type="pct"/>
          </w:tcPr>
          <w:p w14:paraId="086E6C6C" w14:textId="76B834A0" w:rsidR="005661C5" w:rsidRDefault="005661C5" w:rsidP="00CB6A4E">
            <w:pPr>
              <w:rPr>
                <w:b/>
                <w:sz w:val="20"/>
                <w:szCs w:val="20"/>
              </w:rPr>
            </w:pPr>
            <w:r>
              <w:rPr>
                <w:b/>
                <w:sz w:val="20"/>
                <w:szCs w:val="20"/>
              </w:rPr>
              <w:t>Bus MN</w:t>
            </w:r>
          </w:p>
        </w:tc>
        <w:tc>
          <w:tcPr>
            <w:tcW w:w="2434" w:type="pct"/>
            <w:gridSpan w:val="9"/>
            <w:shd w:val="clear" w:color="auto" w:fill="C6D9F1" w:themeFill="text2" w:themeFillTint="33"/>
          </w:tcPr>
          <w:p w14:paraId="0F4221EF" w14:textId="77777777" w:rsidR="005661C5" w:rsidRPr="0056444E" w:rsidRDefault="005661C5" w:rsidP="00CB6A4E">
            <w:pPr>
              <w:rPr>
                <w:b/>
                <w:sz w:val="20"/>
                <w:szCs w:val="20"/>
              </w:rPr>
            </w:pPr>
            <w:r>
              <w:rPr>
                <w:b/>
                <w:sz w:val="20"/>
                <w:szCs w:val="20"/>
              </w:rPr>
              <w:t>2005 data</w:t>
            </w:r>
          </w:p>
        </w:tc>
        <w:tc>
          <w:tcPr>
            <w:tcW w:w="1790" w:type="pct"/>
            <w:gridSpan w:val="8"/>
            <w:shd w:val="clear" w:color="auto" w:fill="F2DBDB" w:themeFill="accent2" w:themeFillTint="33"/>
          </w:tcPr>
          <w:p w14:paraId="771C983A" w14:textId="77777777" w:rsidR="005661C5" w:rsidRDefault="005661C5" w:rsidP="00CB6A4E">
            <w:pPr>
              <w:rPr>
                <w:b/>
                <w:sz w:val="20"/>
                <w:szCs w:val="20"/>
              </w:rPr>
            </w:pPr>
            <w:r>
              <w:rPr>
                <w:b/>
                <w:sz w:val="20"/>
                <w:szCs w:val="20"/>
              </w:rPr>
              <w:t>2009 data</w:t>
            </w:r>
          </w:p>
        </w:tc>
      </w:tr>
      <w:tr w:rsidR="005661C5" w14:paraId="49E0BBFC" w14:textId="77777777" w:rsidTr="005661C5">
        <w:tc>
          <w:tcPr>
            <w:tcW w:w="776" w:type="pct"/>
          </w:tcPr>
          <w:p w14:paraId="0B462EAA" w14:textId="4AAEA1C2" w:rsidR="005661C5" w:rsidRDefault="005661C5" w:rsidP="00CB6A4E">
            <w:pPr>
              <w:rPr>
                <w:b/>
                <w:sz w:val="20"/>
                <w:szCs w:val="20"/>
              </w:rPr>
            </w:pPr>
            <w:r>
              <w:rPr>
                <w:b/>
                <w:sz w:val="20"/>
                <w:szCs w:val="20"/>
              </w:rPr>
              <w:t>Bus NC</w:t>
            </w:r>
          </w:p>
        </w:tc>
        <w:tc>
          <w:tcPr>
            <w:tcW w:w="1949" w:type="pct"/>
            <w:gridSpan w:val="6"/>
            <w:shd w:val="clear" w:color="auto" w:fill="C6D9F1" w:themeFill="text2" w:themeFillTint="33"/>
          </w:tcPr>
          <w:p w14:paraId="1E78E808" w14:textId="77777777" w:rsidR="005661C5" w:rsidRPr="0056444E" w:rsidRDefault="005661C5" w:rsidP="00CB6A4E">
            <w:pPr>
              <w:rPr>
                <w:b/>
                <w:sz w:val="20"/>
                <w:szCs w:val="20"/>
              </w:rPr>
            </w:pPr>
            <w:r>
              <w:rPr>
                <w:b/>
                <w:sz w:val="20"/>
                <w:szCs w:val="20"/>
              </w:rPr>
              <w:t>2001 data</w:t>
            </w:r>
          </w:p>
        </w:tc>
        <w:tc>
          <w:tcPr>
            <w:tcW w:w="2275" w:type="pct"/>
            <w:gridSpan w:val="11"/>
            <w:shd w:val="clear" w:color="auto" w:fill="F2DBDB" w:themeFill="accent2" w:themeFillTint="33"/>
          </w:tcPr>
          <w:p w14:paraId="1F6A3E32" w14:textId="77777777" w:rsidR="005661C5" w:rsidRDefault="005661C5" w:rsidP="00CB6A4E">
            <w:pPr>
              <w:rPr>
                <w:b/>
                <w:sz w:val="20"/>
                <w:szCs w:val="20"/>
              </w:rPr>
            </w:pPr>
            <w:r>
              <w:rPr>
                <w:b/>
                <w:sz w:val="20"/>
                <w:szCs w:val="20"/>
              </w:rPr>
              <w:t>2009 data</w:t>
            </w:r>
          </w:p>
        </w:tc>
      </w:tr>
      <w:tr w:rsidR="005661C5" w14:paraId="227F1D91" w14:textId="77777777" w:rsidTr="005661C5">
        <w:tc>
          <w:tcPr>
            <w:tcW w:w="776" w:type="pct"/>
          </w:tcPr>
          <w:p w14:paraId="4D9898C0" w14:textId="00323A91" w:rsidR="005661C5" w:rsidRDefault="005661C5" w:rsidP="00CB6A4E">
            <w:pPr>
              <w:rPr>
                <w:b/>
                <w:sz w:val="20"/>
                <w:szCs w:val="20"/>
              </w:rPr>
            </w:pPr>
            <w:r>
              <w:rPr>
                <w:b/>
                <w:sz w:val="20"/>
                <w:szCs w:val="20"/>
              </w:rPr>
              <w:t>Bus NY</w:t>
            </w:r>
          </w:p>
        </w:tc>
        <w:tc>
          <w:tcPr>
            <w:tcW w:w="4224" w:type="pct"/>
            <w:gridSpan w:val="17"/>
            <w:shd w:val="clear" w:color="auto" w:fill="C6D9F1" w:themeFill="text2" w:themeFillTint="33"/>
          </w:tcPr>
          <w:p w14:paraId="7228CE4C" w14:textId="77777777" w:rsidR="005661C5" w:rsidRDefault="005661C5" w:rsidP="00CB6A4E">
            <w:pPr>
              <w:rPr>
                <w:b/>
                <w:sz w:val="20"/>
                <w:szCs w:val="20"/>
              </w:rPr>
            </w:pPr>
            <w:r>
              <w:rPr>
                <w:b/>
                <w:sz w:val="20"/>
                <w:szCs w:val="20"/>
              </w:rPr>
              <w:t>2010 data</w:t>
            </w:r>
          </w:p>
        </w:tc>
      </w:tr>
      <w:tr w:rsidR="005661C5" w14:paraId="3A19EF07" w14:textId="77777777" w:rsidTr="005661C5">
        <w:tc>
          <w:tcPr>
            <w:tcW w:w="776" w:type="pct"/>
          </w:tcPr>
          <w:p w14:paraId="019E02FF" w14:textId="003AF520" w:rsidR="005661C5" w:rsidRDefault="005661C5" w:rsidP="00CB6A4E">
            <w:pPr>
              <w:rPr>
                <w:b/>
                <w:sz w:val="20"/>
                <w:szCs w:val="20"/>
              </w:rPr>
            </w:pPr>
            <w:r>
              <w:rPr>
                <w:b/>
                <w:sz w:val="20"/>
                <w:szCs w:val="20"/>
              </w:rPr>
              <w:t>Train CA</w:t>
            </w:r>
          </w:p>
        </w:tc>
        <w:tc>
          <w:tcPr>
            <w:tcW w:w="2759" w:type="pct"/>
            <w:gridSpan w:val="11"/>
            <w:shd w:val="clear" w:color="auto" w:fill="C6D9F1" w:themeFill="text2" w:themeFillTint="33"/>
          </w:tcPr>
          <w:p w14:paraId="25E59069" w14:textId="77777777" w:rsidR="005661C5" w:rsidRPr="0056444E" w:rsidRDefault="005661C5" w:rsidP="00CB6A4E">
            <w:pPr>
              <w:rPr>
                <w:b/>
                <w:sz w:val="20"/>
                <w:szCs w:val="20"/>
              </w:rPr>
            </w:pPr>
            <w:r>
              <w:rPr>
                <w:b/>
                <w:sz w:val="20"/>
                <w:szCs w:val="20"/>
              </w:rPr>
              <w:t>2006 data</w:t>
            </w:r>
          </w:p>
        </w:tc>
        <w:tc>
          <w:tcPr>
            <w:tcW w:w="977" w:type="pct"/>
            <w:gridSpan w:val="4"/>
            <w:shd w:val="clear" w:color="auto" w:fill="F2DBDB" w:themeFill="accent2" w:themeFillTint="33"/>
          </w:tcPr>
          <w:p w14:paraId="72E1C038" w14:textId="77777777" w:rsidR="005661C5" w:rsidRDefault="005661C5" w:rsidP="00CB6A4E">
            <w:pPr>
              <w:rPr>
                <w:b/>
                <w:sz w:val="20"/>
                <w:szCs w:val="20"/>
              </w:rPr>
            </w:pPr>
            <w:r>
              <w:rPr>
                <w:b/>
                <w:sz w:val="20"/>
                <w:szCs w:val="20"/>
              </w:rPr>
              <w:t>2010 data</w:t>
            </w:r>
          </w:p>
        </w:tc>
        <w:tc>
          <w:tcPr>
            <w:tcW w:w="488" w:type="pct"/>
            <w:gridSpan w:val="2"/>
            <w:shd w:val="clear" w:color="auto" w:fill="EAF1DD" w:themeFill="accent3" w:themeFillTint="33"/>
          </w:tcPr>
          <w:p w14:paraId="599812E6" w14:textId="77777777" w:rsidR="005661C5" w:rsidRDefault="005661C5" w:rsidP="00CB6A4E">
            <w:pPr>
              <w:rPr>
                <w:b/>
                <w:sz w:val="20"/>
                <w:szCs w:val="20"/>
              </w:rPr>
            </w:pPr>
            <w:r>
              <w:rPr>
                <w:b/>
                <w:sz w:val="20"/>
                <w:szCs w:val="20"/>
              </w:rPr>
              <w:t>2012 data</w:t>
            </w:r>
          </w:p>
        </w:tc>
      </w:tr>
      <w:tr w:rsidR="005661C5" w14:paraId="1C6E81B3" w14:textId="77777777" w:rsidTr="005661C5">
        <w:tc>
          <w:tcPr>
            <w:tcW w:w="776" w:type="pct"/>
          </w:tcPr>
          <w:p w14:paraId="0FF3A17C" w14:textId="7580216C" w:rsidR="005661C5" w:rsidRDefault="005661C5" w:rsidP="00CB6A4E">
            <w:pPr>
              <w:rPr>
                <w:b/>
                <w:sz w:val="20"/>
                <w:szCs w:val="20"/>
              </w:rPr>
            </w:pPr>
            <w:r>
              <w:rPr>
                <w:b/>
                <w:sz w:val="20"/>
                <w:szCs w:val="20"/>
              </w:rPr>
              <w:t>Train IL</w:t>
            </w:r>
          </w:p>
        </w:tc>
        <w:tc>
          <w:tcPr>
            <w:tcW w:w="4224" w:type="pct"/>
            <w:gridSpan w:val="17"/>
            <w:shd w:val="clear" w:color="auto" w:fill="C6D9F1" w:themeFill="text2" w:themeFillTint="33"/>
          </w:tcPr>
          <w:p w14:paraId="1086BF88" w14:textId="77777777" w:rsidR="005661C5" w:rsidRDefault="005661C5" w:rsidP="00CB6A4E">
            <w:pPr>
              <w:rPr>
                <w:b/>
                <w:sz w:val="20"/>
                <w:szCs w:val="20"/>
              </w:rPr>
            </w:pPr>
            <w:r>
              <w:rPr>
                <w:b/>
                <w:sz w:val="20"/>
                <w:szCs w:val="20"/>
              </w:rPr>
              <w:t>2005 data</w:t>
            </w:r>
          </w:p>
        </w:tc>
      </w:tr>
      <w:tr w:rsidR="005661C5" w14:paraId="49512D94" w14:textId="77777777" w:rsidTr="005661C5">
        <w:tc>
          <w:tcPr>
            <w:tcW w:w="776" w:type="pct"/>
          </w:tcPr>
          <w:p w14:paraId="567279D5" w14:textId="687E8330" w:rsidR="005661C5" w:rsidRDefault="005661C5" w:rsidP="00CB6A4E">
            <w:pPr>
              <w:rPr>
                <w:b/>
                <w:sz w:val="20"/>
                <w:szCs w:val="20"/>
              </w:rPr>
            </w:pPr>
            <w:r>
              <w:rPr>
                <w:b/>
                <w:sz w:val="20"/>
                <w:szCs w:val="20"/>
              </w:rPr>
              <w:t>Train MD</w:t>
            </w:r>
          </w:p>
        </w:tc>
        <w:tc>
          <w:tcPr>
            <w:tcW w:w="4224" w:type="pct"/>
            <w:gridSpan w:val="17"/>
            <w:shd w:val="clear" w:color="auto" w:fill="C6D9F1" w:themeFill="text2" w:themeFillTint="33"/>
          </w:tcPr>
          <w:p w14:paraId="00B8B700" w14:textId="77777777" w:rsidR="005661C5" w:rsidRDefault="005661C5" w:rsidP="00CB6A4E">
            <w:pPr>
              <w:rPr>
                <w:b/>
                <w:sz w:val="20"/>
                <w:szCs w:val="20"/>
              </w:rPr>
            </w:pPr>
            <w:r>
              <w:rPr>
                <w:b/>
                <w:sz w:val="20"/>
                <w:szCs w:val="20"/>
              </w:rPr>
              <w:t>2007 data</w:t>
            </w:r>
          </w:p>
        </w:tc>
      </w:tr>
      <w:tr w:rsidR="005661C5" w14:paraId="3A198725" w14:textId="77777777" w:rsidTr="005661C5">
        <w:tc>
          <w:tcPr>
            <w:tcW w:w="776" w:type="pct"/>
          </w:tcPr>
          <w:p w14:paraId="4A4E518C" w14:textId="4814DEC4" w:rsidR="005661C5" w:rsidRDefault="005661C5" w:rsidP="00CB6A4E">
            <w:pPr>
              <w:rPr>
                <w:b/>
                <w:sz w:val="20"/>
                <w:szCs w:val="20"/>
              </w:rPr>
            </w:pPr>
            <w:r>
              <w:rPr>
                <w:b/>
                <w:sz w:val="20"/>
                <w:szCs w:val="20"/>
              </w:rPr>
              <w:t>Train MN</w:t>
            </w:r>
          </w:p>
        </w:tc>
        <w:tc>
          <w:tcPr>
            <w:tcW w:w="1299" w:type="pct"/>
            <w:gridSpan w:val="4"/>
            <w:shd w:val="clear" w:color="auto" w:fill="C6D9F1" w:themeFill="text2" w:themeFillTint="33"/>
          </w:tcPr>
          <w:p w14:paraId="399B3171" w14:textId="77777777" w:rsidR="005661C5" w:rsidRPr="0056444E" w:rsidRDefault="005661C5" w:rsidP="00CB6A4E">
            <w:pPr>
              <w:rPr>
                <w:b/>
                <w:sz w:val="20"/>
                <w:szCs w:val="20"/>
              </w:rPr>
            </w:pPr>
            <w:r>
              <w:rPr>
                <w:b/>
                <w:sz w:val="20"/>
                <w:szCs w:val="20"/>
              </w:rPr>
              <w:t>No train in existence</w:t>
            </w:r>
          </w:p>
        </w:tc>
        <w:tc>
          <w:tcPr>
            <w:tcW w:w="2924" w:type="pct"/>
            <w:gridSpan w:val="13"/>
            <w:shd w:val="clear" w:color="auto" w:fill="F2DBDB" w:themeFill="accent2" w:themeFillTint="33"/>
          </w:tcPr>
          <w:p w14:paraId="11C47DC4" w14:textId="77777777" w:rsidR="005661C5" w:rsidRDefault="005661C5" w:rsidP="00CB6A4E">
            <w:pPr>
              <w:rPr>
                <w:b/>
                <w:sz w:val="20"/>
                <w:szCs w:val="20"/>
              </w:rPr>
            </w:pPr>
            <w:r>
              <w:rPr>
                <w:b/>
                <w:sz w:val="20"/>
                <w:szCs w:val="20"/>
              </w:rPr>
              <w:t>2009 data</w:t>
            </w:r>
          </w:p>
        </w:tc>
      </w:tr>
      <w:tr w:rsidR="005661C5" w14:paraId="72528505" w14:textId="77777777" w:rsidTr="005661C5">
        <w:tc>
          <w:tcPr>
            <w:tcW w:w="776" w:type="pct"/>
          </w:tcPr>
          <w:p w14:paraId="0062601A" w14:textId="2964939C" w:rsidR="005661C5" w:rsidRDefault="005661C5" w:rsidP="00CB6A4E">
            <w:pPr>
              <w:rPr>
                <w:b/>
                <w:sz w:val="20"/>
                <w:szCs w:val="20"/>
              </w:rPr>
            </w:pPr>
            <w:r>
              <w:rPr>
                <w:b/>
                <w:sz w:val="20"/>
                <w:szCs w:val="20"/>
              </w:rPr>
              <w:t>Train NY</w:t>
            </w:r>
          </w:p>
        </w:tc>
        <w:tc>
          <w:tcPr>
            <w:tcW w:w="4224" w:type="pct"/>
            <w:gridSpan w:val="17"/>
            <w:shd w:val="clear" w:color="auto" w:fill="C6D9F1" w:themeFill="text2" w:themeFillTint="33"/>
          </w:tcPr>
          <w:p w14:paraId="590D67C3" w14:textId="77777777" w:rsidR="005661C5" w:rsidRDefault="005661C5" w:rsidP="00CB6A4E">
            <w:pPr>
              <w:rPr>
                <w:b/>
                <w:sz w:val="20"/>
                <w:szCs w:val="20"/>
              </w:rPr>
            </w:pPr>
            <w:r>
              <w:rPr>
                <w:b/>
                <w:sz w:val="20"/>
                <w:szCs w:val="20"/>
              </w:rPr>
              <w:t>2010 data</w:t>
            </w:r>
          </w:p>
        </w:tc>
      </w:tr>
    </w:tbl>
    <w:p w14:paraId="57421CDA" w14:textId="77777777" w:rsidR="005661C5" w:rsidRDefault="005661C5" w:rsidP="00CF4AB3"/>
    <w:p w14:paraId="10632D7F" w14:textId="77777777" w:rsidR="00CF4AB3" w:rsidRDefault="00CF4AB3" w:rsidP="00CF4AB3">
      <w:pPr>
        <w:rPr>
          <w:rFonts w:cstheme="minorHAnsi"/>
          <w:highlight w:val="yellow"/>
        </w:rPr>
      </w:pPr>
    </w:p>
    <w:p w14:paraId="47CE0DCC" w14:textId="39085305" w:rsidR="0017343B" w:rsidRPr="00AB585A" w:rsidRDefault="0017343B" w:rsidP="0017343B">
      <w:pPr>
        <w:pStyle w:val="Heading2"/>
      </w:pPr>
      <w:r>
        <w:t>Built Environment Factor Scores</w:t>
      </w:r>
    </w:p>
    <w:p w14:paraId="23A70810" w14:textId="77777777" w:rsidR="0017343B" w:rsidRDefault="0017343B" w:rsidP="0017343B">
      <w:r>
        <w:t>To create a combined measure that takes into account aspects of the built environment related to walking were created but extracting factors from a principle factor analysis with varimax rotation</w:t>
      </w:r>
      <w:r>
        <w:rPr>
          <w:rStyle w:val="FootnoteReference"/>
        </w:rPr>
        <w:footnoteReference w:id="12"/>
      </w:r>
      <w:r>
        <w:t>.  Variables included in the factor analysis were:</w:t>
      </w:r>
    </w:p>
    <w:p w14:paraId="59ED033C" w14:textId="77777777" w:rsidR="0017343B" w:rsidRDefault="0017343B" w:rsidP="0017343B">
      <w:pPr>
        <w:pStyle w:val="ListParagraph"/>
        <w:numPr>
          <w:ilvl w:val="0"/>
          <w:numId w:val="17"/>
        </w:numPr>
      </w:pPr>
      <w:r>
        <w:t>Population density per square mile (1 mile buffer)</w:t>
      </w:r>
    </w:p>
    <w:p w14:paraId="74A20230" w14:textId="77777777" w:rsidR="0017343B" w:rsidRDefault="0017343B" w:rsidP="0017343B">
      <w:pPr>
        <w:pStyle w:val="ListParagraph"/>
        <w:numPr>
          <w:ilvl w:val="0"/>
          <w:numId w:val="17"/>
        </w:numPr>
      </w:pPr>
      <w:r>
        <w:t>Percent retail (1 mile buffer)</w:t>
      </w:r>
    </w:p>
    <w:p w14:paraId="063AF323" w14:textId="77777777" w:rsidR="0017343B" w:rsidRDefault="0017343B" w:rsidP="0017343B">
      <w:pPr>
        <w:pStyle w:val="ListParagraph"/>
        <w:numPr>
          <w:ilvl w:val="0"/>
          <w:numId w:val="17"/>
        </w:numPr>
      </w:pPr>
      <w:r>
        <w:t>Percent residential (1 mile buffer)</w:t>
      </w:r>
    </w:p>
    <w:p w14:paraId="1E8E3765" w14:textId="77777777" w:rsidR="0017343B" w:rsidRDefault="0017343B" w:rsidP="0017343B">
      <w:pPr>
        <w:pStyle w:val="ListParagraph"/>
        <w:numPr>
          <w:ilvl w:val="0"/>
          <w:numId w:val="17"/>
        </w:numPr>
      </w:pPr>
      <w:r>
        <w:t>Popular walking destinations – simple density (1 mile buffer)</w:t>
      </w:r>
    </w:p>
    <w:p w14:paraId="50EFE193" w14:textId="77777777" w:rsidR="0017343B" w:rsidRDefault="0017343B" w:rsidP="0017343B">
      <w:pPr>
        <w:pStyle w:val="ListParagraph"/>
        <w:numPr>
          <w:ilvl w:val="0"/>
          <w:numId w:val="17"/>
        </w:numPr>
      </w:pPr>
      <w:r>
        <w:lastRenderedPageBreak/>
        <w:t>Distance to bus</w:t>
      </w:r>
    </w:p>
    <w:p w14:paraId="1DADB3F9" w14:textId="77777777" w:rsidR="0017343B" w:rsidRDefault="0017343B" w:rsidP="0017343B">
      <w:pPr>
        <w:pStyle w:val="ListParagraph"/>
        <w:numPr>
          <w:ilvl w:val="0"/>
          <w:numId w:val="17"/>
        </w:numPr>
      </w:pPr>
      <w:r>
        <w:t>Network ratio</w:t>
      </w:r>
    </w:p>
    <w:p w14:paraId="2BDE1CB1" w14:textId="77777777" w:rsidR="0017343B" w:rsidRDefault="0017343B" w:rsidP="0017343B">
      <w:r>
        <w:t>A three-factor model was chosen for these measures.  Initial eigenvalues indicated that the first three factors explained 37%, 19%, and 15% of the variance, respectively.  The three-factor solution, which explained 81% of the variance, was preferred because of:  (a) the “leveling off” of eigenvalues on the scree plot after three factors; and (b) clarity of interpretation of the factor solution.</w:t>
      </w:r>
    </w:p>
    <w:p w14:paraId="02FF85DA" w14:textId="77777777" w:rsidR="0017343B" w:rsidRPr="005646AF" w:rsidRDefault="0017343B" w:rsidP="0017343B">
      <w:r>
        <w:t xml:space="preserve">Factor scores were created by multiplying the factor weights by the standardized variables and summing </w:t>
      </w:r>
      <w:r w:rsidRPr="005646AF">
        <w:t>for variables loading at 0.8 or higher on that factor.  Factor scores are as follows:</w:t>
      </w:r>
    </w:p>
    <w:p w14:paraId="1FBE9D9E" w14:textId="77777777" w:rsidR="0017343B" w:rsidRPr="005646AF" w:rsidRDefault="0017343B" w:rsidP="0017343B">
      <w:r w:rsidRPr="005646AF">
        <w:t>Factor 1: Intensity of development</w:t>
      </w:r>
    </w:p>
    <w:p w14:paraId="6EB16A53" w14:textId="77777777" w:rsidR="0017343B" w:rsidRPr="005646AF" w:rsidRDefault="0017343B" w:rsidP="0017343B">
      <w:pPr>
        <w:autoSpaceDE w:val="0"/>
        <w:autoSpaceDN w:val="0"/>
        <w:adjustRightInd w:val="0"/>
        <w:spacing w:after="0" w:line="240" w:lineRule="auto"/>
        <w:rPr>
          <w:rFonts w:cs="Courier New"/>
          <w:shd w:val="clear" w:color="auto" w:fill="FFFFFF"/>
        </w:rPr>
      </w:pPr>
      <w:r w:rsidRPr="005646AF">
        <w:tab/>
      </w:r>
      <w:r w:rsidRPr="005646AF">
        <w:rPr>
          <w:rFonts w:cs="Courier New"/>
          <w:shd w:val="clear" w:color="auto" w:fill="FFFFFF"/>
        </w:rPr>
        <w:t>(</w:t>
      </w:r>
      <w:r w:rsidRPr="005646AF">
        <w:rPr>
          <w:rFonts w:cs="Courier New"/>
          <w:bCs/>
          <w:shd w:val="clear" w:color="auto" w:fill="FFFFFF"/>
        </w:rPr>
        <w:t>0.88</w:t>
      </w:r>
      <w:r w:rsidRPr="005646AF">
        <w:rPr>
          <w:rFonts w:cs="Courier New"/>
          <w:shd w:val="clear" w:color="auto" w:fill="FFFFFF"/>
        </w:rPr>
        <w:t>*Popular walking density)+(</w:t>
      </w:r>
      <w:r w:rsidRPr="005646AF">
        <w:rPr>
          <w:rFonts w:cs="Courier New"/>
          <w:bCs/>
          <w:shd w:val="clear" w:color="auto" w:fill="FFFFFF"/>
        </w:rPr>
        <w:t>0.87</w:t>
      </w:r>
      <w:r w:rsidRPr="005646AF">
        <w:rPr>
          <w:rFonts w:cs="Courier New"/>
          <w:shd w:val="clear" w:color="auto" w:fill="FFFFFF"/>
        </w:rPr>
        <w:t>*population density)+(-</w:t>
      </w:r>
      <w:r w:rsidRPr="005646AF">
        <w:rPr>
          <w:rFonts w:cs="Courier New"/>
          <w:bCs/>
          <w:shd w:val="clear" w:color="auto" w:fill="FFFFFF"/>
        </w:rPr>
        <w:t>0.83</w:t>
      </w:r>
      <w:r w:rsidRPr="005646AF">
        <w:rPr>
          <w:rFonts w:cs="Courier New"/>
          <w:shd w:val="clear" w:color="auto" w:fill="FFFFFF"/>
        </w:rPr>
        <w:t>*% residential)</w:t>
      </w:r>
    </w:p>
    <w:p w14:paraId="2748DE47" w14:textId="77777777" w:rsidR="0017343B" w:rsidRPr="005646AF" w:rsidRDefault="0017343B" w:rsidP="0017343B">
      <w:pPr>
        <w:autoSpaceDE w:val="0"/>
        <w:autoSpaceDN w:val="0"/>
        <w:adjustRightInd w:val="0"/>
        <w:spacing w:after="0" w:line="240" w:lineRule="auto"/>
        <w:rPr>
          <w:rFonts w:cs="Courier New"/>
          <w:shd w:val="clear" w:color="auto" w:fill="FFFFFF"/>
        </w:rPr>
      </w:pPr>
    </w:p>
    <w:p w14:paraId="31840177" w14:textId="77777777" w:rsidR="0017343B" w:rsidRPr="005646AF" w:rsidRDefault="0017343B" w:rsidP="0017343B">
      <w:pPr>
        <w:autoSpaceDE w:val="0"/>
        <w:autoSpaceDN w:val="0"/>
        <w:adjustRightInd w:val="0"/>
        <w:spacing w:after="0" w:line="240" w:lineRule="auto"/>
        <w:rPr>
          <w:rFonts w:cs="Courier New"/>
          <w:shd w:val="clear" w:color="auto" w:fill="FFFFFF"/>
        </w:rPr>
      </w:pPr>
      <w:r w:rsidRPr="005646AF">
        <w:rPr>
          <w:rFonts w:cs="Courier New"/>
          <w:shd w:val="clear" w:color="auto" w:fill="FFFFFF"/>
        </w:rPr>
        <w:t>Factor 2: Connected Retail centers</w:t>
      </w:r>
    </w:p>
    <w:p w14:paraId="30390A7F" w14:textId="77777777" w:rsidR="0017343B" w:rsidRPr="005646AF" w:rsidRDefault="0017343B" w:rsidP="0017343B">
      <w:pPr>
        <w:autoSpaceDE w:val="0"/>
        <w:autoSpaceDN w:val="0"/>
        <w:adjustRightInd w:val="0"/>
        <w:spacing w:after="0" w:line="240" w:lineRule="auto"/>
        <w:ind w:firstLine="720"/>
        <w:rPr>
          <w:rFonts w:cs="Courier New"/>
          <w:shd w:val="clear" w:color="auto" w:fill="FFFFFF"/>
        </w:rPr>
      </w:pPr>
      <w:r w:rsidRPr="005646AF">
        <w:rPr>
          <w:rFonts w:cs="Courier New"/>
          <w:bCs/>
          <w:shd w:val="clear" w:color="auto" w:fill="FFFFFF"/>
        </w:rPr>
        <w:t>(0.80</w:t>
      </w:r>
      <w:r w:rsidRPr="005646AF">
        <w:rPr>
          <w:rFonts w:cs="Courier New"/>
          <w:shd w:val="clear" w:color="auto" w:fill="FFFFFF"/>
        </w:rPr>
        <w:t>*Network ratio)+(</w:t>
      </w:r>
      <w:r w:rsidRPr="005646AF">
        <w:rPr>
          <w:rFonts w:cs="Courier New"/>
          <w:bCs/>
          <w:shd w:val="clear" w:color="auto" w:fill="FFFFFF"/>
        </w:rPr>
        <w:t>0.85</w:t>
      </w:r>
      <w:r w:rsidRPr="005646AF">
        <w:rPr>
          <w:rFonts w:cs="Courier New"/>
          <w:shd w:val="clear" w:color="auto" w:fill="FFFFFF"/>
        </w:rPr>
        <w:t>*%retail);</w:t>
      </w:r>
    </w:p>
    <w:p w14:paraId="175482EE" w14:textId="77777777" w:rsidR="0017343B" w:rsidRPr="005646AF" w:rsidRDefault="0017343B" w:rsidP="0017343B">
      <w:pPr>
        <w:autoSpaceDE w:val="0"/>
        <w:autoSpaceDN w:val="0"/>
        <w:adjustRightInd w:val="0"/>
        <w:spacing w:after="0" w:line="240" w:lineRule="auto"/>
        <w:rPr>
          <w:rFonts w:cs="SAS Monospace"/>
        </w:rPr>
      </w:pPr>
    </w:p>
    <w:p w14:paraId="202FA14E" w14:textId="77777777" w:rsidR="0017343B" w:rsidRPr="005646AF" w:rsidRDefault="0017343B" w:rsidP="0017343B">
      <w:r w:rsidRPr="005646AF">
        <w:t>A separate score was not calculated for Factor 3, since only distance to bus was highly loaded on that factor.</w:t>
      </w:r>
    </w:p>
    <w:p w14:paraId="20FD9BA6" w14:textId="70D8315A" w:rsidR="0017343B" w:rsidRDefault="0017343B" w:rsidP="0017343B">
      <w:r w:rsidRPr="005646AF">
        <w:t xml:space="preserve">Factor scores were created for each buffer size (½ and 1 mile) for simple </w:t>
      </w:r>
      <w:r>
        <w:t>density of walking destinations to allow for choice of buffer and sensitivity analyses.</w:t>
      </w:r>
    </w:p>
    <w:p w14:paraId="3CE1DCA2" w14:textId="77777777" w:rsidR="0017343B" w:rsidRPr="00517472" w:rsidRDefault="0017343B" w:rsidP="0017343B">
      <w:pPr>
        <w:rPr>
          <w:rFonts w:cstheme="minorHAnsi"/>
          <w:highlight w:val="yellow"/>
        </w:rPr>
      </w:pPr>
    </w:p>
    <w:p w14:paraId="72BD588D" w14:textId="76604073" w:rsidR="00B32C93" w:rsidRPr="00771FE0" w:rsidRDefault="00A94C13" w:rsidP="005D54B5">
      <w:pPr>
        <w:pStyle w:val="Heading2"/>
      </w:pPr>
      <w:r w:rsidRPr="00771FE0">
        <w:t>Cumulative Averages</w:t>
      </w:r>
    </w:p>
    <w:p w14:paraId="3E0B31D9" w14:textId="77777777" w:rsidR="00261E94" w:rsidRPr="00771FE0" w:rsidRDefault="00261E94" w:rsidP="00261E94">
      <w:r w:rsidRPr="00771FE0">
        <w:t xml:space="preserve">To assess long-term cumulative exposure to the neighborhood environment, </w:t>
      </w:r>
      <w:r w:rsidRPr="00771FE0">
        <w:rPr>
          <w:rFonts w:eastAsia="GuardianTextEgypGR-Regular" w:cs="GuardianTextEgypGR-Regular"/>
          <w:color w:val="1A171C"/>
        </w:rPr>
        <w:t>we created time-varying cumulative m</w:t>
      </w:r>
      <w:r w:rsidRPr="00771FE0">
        <w:rPr>
          <w:rFonts w:eastAsia="GuardianTextEgypGR-Regular"/>
        </w:rPr>
        <w:t>eans, defined as the mean across all months from the baseline to each follow-up exam.</w:t>
      </w:r>
    </w:p>
    <w:p w14:paraId="4E8415DE" w14:textId="11FC9F19" w:rsidR="00261E94" w:rsidRPr="00771FE0" w:rsidRDefault="00261E94" w:rsidP="00261E94">
      <w:r w:rsidRPr="00771FE0">
        <w:t>A monthly address dataset was created with a row for each month that the participant was in the study starting with their Exam 1 date.  The last row in the dataset is the date at the last exam the participant completed. The cumulative average is then calculated as:</w:t>
      </w:r>
    </w:p>
    <w:p w14:paraId="2C74A577" w14:textId="041EC9D9" w:rsidR="00261E94" w:rsidRPr="00771FE0" w:rsidRDefault="00261E94" w:rsidP="00261E94">
      <w:r w:rsidRPr="00771FE0">
        <w:tab/>
      </w:r>
      <m:oMath>
        <m:r>
          <w:rPr>
            <w:rFonts w:ascii="Cambria Math" w:hAnsi="Cambria Math"/>
          </w:rPr>
          <m:t xml:space="preserve">cumulative_average=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Built Environment</m:t>
                </m:r>
              </m:e>
            </m:nary>
          </m:num>
          <m:den>
            <m:r>
              <w:rPr>
                <w:rFonts w:ascii="Cambria Math" w:hAnsi="Cambria Math"/>
              </w:rPr>
              <m:t>t</m:t>
            </m:r>
          </m:den>
        </m:f>
      </m:oMath>
    </w:p>
    <w:p w14:paraId="730EB920" w14:textId="4D2F41B3" w:rsidR="00D13A31" w:rsidRPr="00771FE0" w:rsidRDefault="00D13A31" w:rsidP="00D13A31">
      <w:pPr>
        <w:ind w:left="720"/>
      </w:pPr>
      <w:r w:rsidRPr="00771FE0">
        <w:t>Where t = number of months from Exam 1 to follow-up exam (ie: Exam 2, Exam 3, Exam 4, or Exam 5)</w:t>
      </w:r>
    </w:p>
    <w:p w14:paraId="57F76954" w14:textId="6F5587E1" w:rsidR="00261E94" w:rsidRPr="00771FE0" w:rsidRDefault="00D13A31" w:rsidP="00261E94">
      <w:r w:rsidRPr="00771FE0">
        <w:t>F</w:t>
      </w:r>
      <w:r w:rsidR="00261E94" w:rsidRPr="00771FE0">
        <w:t>or Exam1</w:t>
      </w:r>
      <w:r w:rsidRPr="00771FE0">
        <w:t xml:space="preserve">, </w:t>
      </w:r>
      <w:r w:rsidR="00261E94" w:rsidRPr="00771FE0">
        <w:t xml:space="preserve">the value </w:t>
      </w:r>
      <w:r w:rsidRPr="00771FE0">
        <w:t xml:space="preserve">of the cumulative average variable is the same as the actual value </w:t>
      </w:r>
      <w:r w:rsidR="00261E94" w:rsidRPr="00771FE0">
        <w:t>for Exam1. For any months with missing data, these months are excluded from t</w:t>
      </w:r>
      <w:r w:rsidRPr="00771FE0">
        <w:t>he calculation of the average</w:t>
      </w:r>
      <w:r w:rsidR="00261E94" w:rsidRPr="00771FE0">
        <w:t>.</w:t>
      </w:r>
      <w:r w:rsidRPr="00771FE0">
        <w:t xml:space="preserve"> Since the </w:t>
      </w:r>
      <w:r w:rsidR="006F5F7C">
        <w:t>some of the measures</w:t>
      </w:r>
      <w:r w:rsidRPr="00771FE0">
        <w:t xml:space="preserve"> only ha</w:t>
      </w:r>
      <w:r w:rsidR="006F5F7C">
        <w:t>ve</w:t>
      </w:r>
      <w:r w:rsidRPr="00771FE0">
        <w:t xml:space="preserve"> </w:t>
      </w:r>
      <w:r w:rsidR="00261E94" w:rsidRPr="00771FE0">
        <w:t>2 time changes</w:t>
      </w:r>
      <w:r w:rsidRPr="00771FE0">
        <w:t xml:space="preserve"> (3 total values)</w:t>
      </w:r>
      <w:r w:rsidR="00261E94" w:rsidRPr="00771FE0">
        <w:t>, this will be more relevant in the later exams</w:t>
      </w:r>
      <w:r w:rsidRPr="00771FE0">
        <w:t xml:space="preserve"> (after 2004)</w:t>
      </w:r>
      <w:r w:rsidR="00261E94" w:rsidRPr="00771FE0">
        <w:t xml:space="preserve"> and for those who moved</w:t>
      </w:r>
      <w:r w:rsidRPr="00771FE0">
        <w:t>, where the values will change at the point in which they moved to the new address.</w:t>
      </w:r>
    </w:p>
    <w:p w14:paraId="358B8FFD" w14:textId="77777777" w:rsidR="00261E94" w:rsidRPr="00771FE0" w:rsidRDefault="00261E94" w:rsidP="00261E94">
      <w:pPr>
        <w:pStyle w:val="NoSpacing"/>
      </w:pPr>
      <w:r w:rsidRPr="00771FE0">
        <w:t>These summary measures are intended to be used in a model such as (Cumulative Average Model):</w:t>
      </w:r>
    </w:p>
    <w:p w14:paraId="461F9DF3" w14:textId="706EA80D" w:rsidR="00261E94" w:rsidRPr="00771FE0" w:rsidRDefault="00261E94" w:rsidP="00261E94">
      <w:pPr>
        <w:pStyle w:val="NoSpacing"/>
        <w:rPr>
          <w:rFonts w:cstheme="minorHAnsi"/>
        </w:rPr>
      </w:pPr>
      <w:r w:rsidRPr="00771FE0">
        <w:rPr>
          <w:rFonts w:cstheme="minorHAnsi"/>
        </w:rPr>
        <w:lastRenderedPageBreak/>
        <w:t>Y</w:t>
      </w:r>
      <w:r w:rsidRPr="00771FE0">
        <w:rPr>
          <w:rFonts w:cstheme="minorHAnsi"/>
          <w:vertAlign w:val="subscript"/>
        </w:rPr>
        <w:t>kit</w:t>
      </w:r>
      <w:r w:rsidRPr="00771FE0">
        <w:rPr>
          <w:rFonts w:cstheme="minorHAnsi"/>
        </w:rPr>
        <w:t>=</w:t>
      </w:r>
      <w:r w:rsidRPr="00771FE0">
        <w:rPr>
          <w:rFonts w:cstheme="minorHAnsi"/>
          <w:lang w:val="el-GR"/>
        </w:rPr>
        <w:t xml:space="preserve"> β</w:t>
      </w:r>
      <w:r w:rsidRPr="00771FE0">
        <w:rPr>
          <w:rFonts w:cstheme="minorHAnsi"/>
          <w:vertAlign w:val="subscript"/>
        </w:rPr>
        <w:t>o</w:t>
      </w:r>
      <w:r w:rsidRPr="00771FE0">
        <w:rPr>
          <w:rFonts w:cstheme="minorHAnsi"/>
        </w:rPr>
        <w:t xml:space="preserve">+ </w:t>
      </w:r>
      <w:r w:rsidRPr="00771FE0">
        <w:rPr>
          <w:rFonts w:cstheme="minorHAnsi"/>
          <w:lang w:val="el-GR"/>
        </w:rPr>
        <w:t>β</w:t>
      </w:r>
      <w:r w:rsidRPr="00771FE0">
        <w:rPr>
          <w:rFonts w:cstheme="minorHAnsi"/>
          <w:vertAlign w:val="subscript"/>
        </w:rPr>
        <w:t>1</w:t>
      </w:r>
      <w:r w:rsidRPr="00771FE0">
        <w:rPr>
          <w:rFonts w:cstheme="minorHAnsi"/>
        </w:rPr>
        <w:t>X</w:t>
      </w:r>
      <w:r w:rsidRPr="00771FE0">
        <w:rPr>
          <w:rFonts w:cstheme="minorHAnsi"/>
          <w:vertAlign w:val="subscript"/>
        </w:rPr>
        <w:t>ki0</w:t>
      </w:r>
      <w:r w:rsidRPr="00771FE0">
        <w:rPr>
          <w:rFonts w:cstheme="minorHAnsi"/>
        </w:rPr>
        <w:t>+</w:t>
      </w:r>
      <w:r w:rsidRPr="00771FE0">
        <w:rPr>
          <w:rFonts w:cstheme="minorHAnsi"/>
          <w:lang w:val="el-GR"/>
        </w:rPr>
        <w:t xml:space="preserve"> β</w:t>
      </w:r>
      <w:r w:rsidRPr="00771FE0">
        <w:rPr>
          <w:rFonts w:cstheme="minorHAnsi"/>
          <w:vertAlign w:val="subscript"/>
        </w:rPr>
        <w:t>2</w:t>
      </w:r>
      <w:r w:rsidRPr="00771FE0">
        <w:rPr>
          <w:rFonts w:cstheme="minorHAnsi"/>
        </w:rPr>
        <w:t>T</w:t>
      </w:r>
      <w:r w:rsidRPr="00771FE0">
        <w:rPr>
          <w:rFonts w:cstheme="minorHAnsi"/>
          <w:vertAlign w:val="subscript"/>
        </w:rPr>
        <w:t>kit</w:t>
      </w:r>
      <w:r w:rsidRPr="00771FE0">
        <w:rPr>
          <w:rFonts w:cstheme="minorHAnsi"/>
        </w:rPr>
        <w:t>+</w:t>
      </w:r>
      <w:r w:rsidRPr="00771FE0">
        <w:rPr>
          <w:rFonts w:cstheme="minorHAnsi"/>
          <w:lang w:val="el-GR"/>
        </w:rPr>
        <w:t xml:space="preserve"> β</w:t>
      </w:r>
      <w:r w:rsidRPr="00771FE0">
        <w:rPr>
          <w:rFonts w:cstheme="minorHAnsi"/>
          <w:vertAlign w:val="subscript"/>
        </w:rPr>
        <w:t>3</w:t>
      </w:r>
      <w:r w:rsidRPr="00771FE0">
        <w:rPr>
          <w:rFonts w:cstheme="minorHAnsi"/>
        </w:rPr>
        <w:t>(avgX</w:t>
      </w:r>
      <w:r w:rsidRPr="00771FE0">
        <w:rPr>
          <w:rFonts w:cstheme="minorHAnsi"/>
          <w:vertAlign w:val="subscript"/>
        </w:rPr>
        <w:t>kit</w:t>
      </w:r>
      <w:r w:rsidRPr="00771FE0">
        <w:rPr>
          <w:rFonts w:cstheme="minorHAnsi"/>
        </w:rPr>
        <w:t>*T</w:t>
      </w:r>
      <w:r w:rsidRPr="00771FE0">
        <w:rPr>
          <w:rFonts w:cstheme="minorHAnsi"/>
          <w:vertAlign w:val="subscript"/>
        </w:rPr>
        <w:t>kit</w:t>
      </w:r>
      <w:r w:rsidRPr="00771FE0">
        <w:rPr>
          <w:rFonts w:cstheme="minorHAnsi"/>
        </w:rPr>
        <w:t>)+</w:t>
      </w:r>
      <w:r w:rsidRPr="00771FE0">
        <w:rPr>
          <w:rFonts w:cstheme="minorHAnsi"/>
          <w:lang w:val="el-GR"/>
        </w:rPr>
        <w:t xml:space="preserve"> β</w:t>
      </w:r>
      <w:r w:rsidRPr="00771FE0">
        <w:rPr>
          <w:rFonts w:cstheme="minorHAnsi"/>
          <w:vertAlign w:val="subscript"/>
        </w:rPr>
        <w:t>4</w:t>
      </w:r>
      <w:r w:rsidRPr="00771FE0">
        <w:rPr>
          <w:rFonts w:cstheme="minorHAnsi"/>
        </w:rPr>
        <w:t>A</w:t>
      </w:r>
      <w:r w:rsidRPr="00771FE0">
        <w:rPr>
          <w:rFonts w:cstheme="minorHAnsi"/>
          <w:vertAlign w:val="subscript"/>
        </w:rPr>
        <w:t>ki0</w:t>
      </w:r>
      <w:r w:rsidRPr="00771FE0">
        <w:rPr>
          <w:rFonts w:cstheme="minorHAnsi"/>
        </w:rPr>
        <w:t>+</w:t>
      </w:r>
      <w:r w:rsidRPr="00771FE0">
        <w:rPr>
          <w:rFonts w:cstheme="minorHAnsi"/>
          <w:lang w:val="el-GR"/>
        </w:rPr>
        <w:t xml:space="preserve"> β</w:t>
      </w:r>
      <w:r w:rsidRPr="00771FE0">
        <w:rPr>
          <w:rFonts w:cstheme="minorHAnsi"/>
          <w:vertAlign w:val="subscript"/>
        </w:rPr>
        <w:t>5</w:t>
      </w:r>
      <w:r w:rsidRPr="00771FE0">
        <w:rPr>
          <w:rFonts w:cstheme="minorHAnsi"/>
        </w:rPr>
        <w:t>( A</w:t>
      </w:r>
      <w:r w:rsidRPr="00771FE0">
        <w:rPr>
          <w:rFonts w:cstheme="minorHAnsi"/>
          <w:vertAlign w:val="subscript"/>
        </w:rPr>
        <w:t>ki0</w:t>
      </w:r>
      <w:r w:rsidRPr="00771FE0">
        <w:rPr>
          <w:rFonts w:cstheme="minorHAnsi"/>
        </w:rPr>
        <w:t>*T</w:t>
      </w:r>
      <w:r w:rsidRPr="00771FE0">
        <w:rPr>
          <w:rFonts w:cstheme="minorHAnsi"/>
          <w:vertAlign w:val="subscript"/>
        </w:rPr>
        <w:t>kit</w:t>
      </w:r>
      <w:r w:rsidRPr="00771FE0">
        <w:rPr>
          <w:rFonts w:cstheme="minorHAnsi"/>
        </w:rPr>
        <w:t>)+</w:t>
      </w:r>
      <w:r w:rsidRPr="00771FE0">
        <w:rPr>
          <w:rFonts w:cstheme="minorHAnsi"/>
          <w:lang w:val="el-GR"/>
        </w:rPr>
        <w:t xml:space="preserve"> β</w:t>
      </w:r>
      <w:r w:rsidRPr="00771FE0">
        <w:rPr>
          <w:rFonts w:cstheme="minorHAnsi"/>
          <w:vertAlign w:val="subscript"/>
        </w:rPr>
        <w:t>m</w:t>
      </w:r>
      <w:r w:rsidRPr="00771FE0">
        <w:rPr>
          <w:rFonts w:cstheme="minorHAnsi"/>
        </w:rPr>
        <w:t>Cov</w:t>
      </w:r>
      <w:r w:rsidRPr="00771FE0">
        <w:rPr>
          <w:rFonts w:cstheme="minorHAnsi"/>
          <w:vertAlign w:val="subscript"/>
        </w:rPr>
        <w:t>ki0</w:t>
      </w:r>
      <w:r w:rsidRPr="00771FE0">
        <w:rPr>
          <w:rFonts w:cstheme="minorHAnsi"/>
        </w:rPr>
        <w:t>+</w:t>
      </w:r>
      <w:r w:rsidRPr="00771FE0">
        <w:rPr>
          <w:rFonts w:cstheme="minorHAnsi"/>
          <w:lang w:val="el-GR"/>
        </w:rPr>
        <w:t>β</w:t>
      </w:r>
      <w:r w:rsidRPr="00771FE0">
        <w:rPr>
          <w:rFonts w:cstheme="minorHAnsi"/>
          <w:vertAlign w:val="subscript"/>
        </w:rPr>
        <w:t>n</w:t>
      </w:r>
      <w:r w:rsidR="00D13A31" w:rsidRPr="00771FE0">
        <w:rPr>
          <w:rFonts w:cstheme="minorHAnsi"/>
        </w:rPr>
        <w:t>(</w:t>
      </w:r>
      <w:r w:rsidRPr="00771FE0">
        <w:rPr>
          <w:rFonts w:cstheme="minorHAnsi"/>
        </w:rPr>
        <w:t>Cov</w:t>
      </w:r>
      <w:r w:rsidRPr="00771FE0">
        <w:rPr>
          <w:rFonts w:cstheme="minorHAnsi"/>
          <w:vertAlign w:val="subscript"/>
        </w:rPr>
        <w:t>ki0</w:t>
      </w:r>
      <w:r w:rsidRPr="00771FE0">
        <w:rPr>
          <w:rFonts w:cstheme="minorHAnsi"/>
        </w:rPr>
        <w:t>*T</w:t>
      </w:r>
      <w:r w:rsidRPr="00771FE0">
        <w:rPr>
          <w:rFonts w:cstheme="minorHAnsi"/>
          <w:vertAlign w:val="subscript"/>
        </w:rPr>
        <w:t>kit</w:t>
      </w:r>
      <w:r w:rsidRPr="00771FE0">
        <w:rPr>
          <w:rFonts w:cstheme="minorHAnsi"/>
        </w:rPr>
        <w:t>)+</w:t>
      </w:r>
      <w:r w:rsidRPr="00771FE0">
        <w:rPr>
          <w:rFonts w:cstheme="minorHAnsi"/>
          <w:lang w:val="el-GR"/>
        </w:rPr>
        <w:t xml:space="preserve"> β</w:t>
      </w:r>
      <w:r w:rsidRPr="00771FE0">
        <w:rPr>
          <w:rFonts w:cstheme="minorHAnsi"/>
          <w:vertAlign w:val="subscript"/>
        </w:rPr>
        <w:t>p</w:t>
      </w:r>
      <w:r w:rsidRPr="00771FE0">
        <w:rPr>
          <w:rFonts w:cstheme="minorHAnsi"/>
        </w:rPr>
        <w:t>CovT</w:t>
      </w:r>
      <w:r w:rsidRPr="00771FE0">
        <w:rPr>
          <w:rFonts w:cstheme="minorHAnsi"/>
          <w:vertAlign w:val="subscript"/>
        </w:rPr>
        <w:t>kit</w:t>
      </w:r>
      <w:r w:rsidRPr="00771FE0">
        <w:rPr>
          <w:rFonts w:cstheme="minorHAnsi"/>
        </w:rPr>
        <w:t>+η</w:t>
      </w:r>
      <w:r w:rsidRPr="00771FE0">
        <w:rPr>
          <w:rFonts w:cstheme="minorHAnsi"/>
          <w:vertAlign w:val="subscript"/>
        </w:rPr>
        <w:t>k</w:t>
      </w:r>
      <w:r w:rsidRPr="00771FE0">
        <w:rPr>
          <w:rFonts w:cstheme="minorHAnsi"/>
        </w:rPr>
        <w:t>+α</w:t>
      </w:r>
      <w:r w:rsidRPr="00771FE0">
        <w:rPr>
          <w:rFonts w:cstheme="minorHAnsi"/>
          <w:vertAlign w:val="subscript"/>
        </w:rPr>
        <w:t>ki</w:t>
      </w:r>
      <w:r w:rsidRPr="00771FE0">
        <w:rPr>
          <w:rFonts w:cstheme="minorHAnsi"/>
        </w:rPr>
        <w:t>+(</w:t>
      </w:r>
      <w:r w:rsidRPr="00771FE0">
        <w:rPr>
          <w:rFonts w:cstheme="minorHAnsi"/>
          <w:lang w:val="el-GR"/>
        </w:rPr>
        <w:t>ν</w:t>
      </w:r>
      <w:r w:rsidRPr="00771FE0">
        <w:rPr>
          <w:rFonts w:cstheme="minorHAnsi"/>
          <w:vertAlign w:val="subscript"/>
        </w:rPr>
        <w:t>ki</w:t>
      </w:r>
      <w:r w:rsidRPr="00771FE0">
        <w:rPr>
          <w:rFonts w:cstheme="minorHAnsi"/>
        </w:rPr>
        <w:t>*T</w:t>
      </w:r>
      <w:r w:rsidRPr="00771FE0">
        <w:rPr>
          <w:rFonts w:cstheme="minorHAnsi"/>
          <w:vertAlign w:val="subscript"/>
        </w:rPr>
        <w:t>kit</w:t>
      </w:r>
      <w:r w:rsidRPr="00771FE0">
        <w:rPr>
          <w:rFonts w:cstheme="minorHAnsi"/>
        </w:rPr>
        <w:t>)+e</w:t>
      </w:r>
      <w:r w:rsidRPr="00771FE0">
        <w:rPr>
          <w:rFonts w:cstheme="minorHAnsi"/>
          <w:vertAlign w:val="subscript"/>
        </w:rPr>
        <w:t>kit</w:t>
      </w:r>
    </w:p>
    <w:p w14:paraId="45FB403B" w14:textId="77777777" w:rsidR="00261E94" w:rsidRPr="00771FE0" w:rsidRDefault="00261E94" w:rsidP="00261E94">
      <w:pPr>
        <w:pStyle w:val="NoSpacing"/>
        <w:rPr>
          <w:rFonts w:cstheme="minorHAnsi"/>
        </w:rPr>
      </w:pPr>
    </w:p>
    <w:p w14:paraId="52DBDFD0" w14:textId="77777777" w:rsidR="00261E94" w:rsidRPr="00771FE0" w:rsidRDefault="00261E94" w:rsidP="00261E94">
      <w:pPr>
        <w:pStyle w:val="NoSpacing"/>
        <w:rPr>
          <w:rFonts w:cstheme="minorHAnsi"/>
        </w:rPr>
      </w:pPr>
      <w:r w:rsidRPr="00771FE0">
        <w:rPr>
          <w:rFonts w:cstheme="minorHAnsi"/>
        </w:rPr>
        <w:t>Where:</w:t>
      </w:r>
    </w:p>
    <w:p w14:paraId="58261A3C" w14:textId="77777777" w:rsidR="00261E94" w:rsidRPr="00771FE0" w:rsidRDefault="00261E94" w:rsidP="00261E94">
      <w:pPr>
        <w:pStyle w:val="NoSpacing"/>
        <w:ind w:firstLine="720"/>
        <w:rPr>
          <w:rFonts w:cstheme="minorHAnsi"/>
        </w:rPr>
      </w:pPr>
      <w:r w:rsidRPr="00771FE0">
        <w:rPr>
          <w:rFonts w:cstheme="minorHAnsi"/>
        </w:rPr>
        <w:t>Y</w:t>
      </w:r>
      <w:r w:rsidRPr="00771FE0">
        <w:rPr>
          <w:rFonts w:cstheme="minorHAnsi"/>
          <w:i/>
          <w:iCs/>
          <w:vertAlign w:val="subscript"/>
        </w:rPr>
        <w:t>kit</w:t>
      </w:r>
      <w:r w:rsidRPr="00771FE0">
        <w:rPr>
          <w:rFonts w:cstheme="minorHAnsi"/>
        </w:rPr>
        <w:t xml:space="preserve"> = Outcome of interest</w:t>
      </w:r>
    </w:p>
    <w:p w14:paraId="48C94A4F" w14:textId="77777777" w:rsidR="00261E94" w:rsidRPr="00771FE0" w:rsidRDefault="00261E94" w:rsidP="00261E94">
      <w:pPr>
        <w:pStyle w:val="NoSpacing"/>
        <w:ind w:firstLine="720"/>
        <w:rPr>
          <w:rFonts w:cstheme="minorHAnsi"/>
        </w:rPr>
      </w:pPr>
      <w:r w:rsidRPr="00771FE0">
        <w:rPr>
          <w:rFonts w:cstheme="minorHAnsi"/>
        </w:rPr>
        <w:t>X</w:t>
      </w:r>
      <w:r w:rsidRPr="00771FE0">
        <w:rPr>
          <w:rFonts w:cstheme="minorHAnsi"/>
          <w:i/>
          <w:iCs/>
          <w:vertAlign w:val="subscript"/>
        </w:rPr>
        <w:t>ki0</w:t>
      </w:r>
      <w:r w:rsidRPr="00771FE0">
        <w:rPr>
          <w:rFonts w:cstheme="minorHAnsi"/>
        </w:rPr>
        <w:t xml:space="preserve"> = Neighborhood exposure at Exam 1 (baseline)</w:t>
      </w:r>
    </w:p>
    <w:p w14:paraId="6D34A2B8" w14:textId="311DF5C0" w:rsidR="00261E94" w:rsidRPr="00771FE0" w:rsidRDefault="00261E94" w:rsidP="00261E94">
      <w:pPr>
        <w:pStyle w:val="NoSpacing"/>
        <w:ind w:left="720"/>
        <w:rPr>
          <w:rFonts w:cstheme="minorHAnsi"/>
        </w:rPr>
      </w:pPr>
      <w:r w:rsidRPr="00771FE0">
        <w:rPr>
          <w:rFonts w:cstheme="minorHAnsi"/>
          <w:iCs/>
        </w:rPr>
        <w:t>T</w:t>
      </w:r>
      <w:r w:rsidRPr="00771FE0">
        <w:rPr>
          <w:rFonts w:cstheme="minorHAnsi"/>
          <w:i/>
          <w:iCs/>
          <w:vertAlign w:val="subscript"/>
        </w:rPr>
        <w:t>kit</w:t>
      </w:r>
      <w:r w:rsidRPr="00771FE0">
        <w:rPr>
          <w:rFonts w:cstheme="minorHAnsi"/>
        </w:rPr>
        <w:t xml:space="preserve"> = Time elapsed since Exam1.  This will be 0 for Exam1 (baseline) since no time has elapsed.</w:t>
      </w:r>
    </w:p>
    <w:p w14:paraId="17536DE0" w14:textId="77777777" w:rsidR="00261E94" w:rsidRPr="00771FE0" w:rsidRDefault="00261E94" w:rsidP="00261E94">
      <w:pPr>
        <w:pStyle w:val="NoSpacing"/>
        <w:ind w:firstLine="720"/>
        <w:rPr>
          <w:rFonts w:cstheme="minorHAnsi"/>
        </w:rPr>
      </w:pPr>
      <w:r w:rsidRPr="00771FE0">
        <w:rPr>
          <w:rFonts w:cstheme="minorHAnsi"/>
        </w:rPr>
        <w:t>avgX</w:t>
      </w:r>
      <w:r w:rsidRPr="00771FE0">
        <w:rPr>
          <w:rFonts w:cstheme="minorHAnsi"/>
          <w:i/>
          <w:iCs/>
          <w:vertAlign w:val="subscript"/>
        </w:rPr>
        <w:t>kit</w:t>
      </w:r>
      <w:r w:rsidRPr="00771FE0">
        <w:rPr>
          <w:rFonts w:cstheme="minorHAnsi"/>
        </w:rPr>
        <w:t xml:space="preserve"> = Average neighborhood exposure from Exam1 (baseline) to time </w:t>
      </w:r>
      <w:r w:rsidRPr="00771FE0">
        <w:rPr>
          <w:rFonts w:cstheme="minorHAnsi"/>
          <w:i/>
          <w:iCs/>
        </w:rPr>
        <w:t>t</w:t>
      </w:r>
    </w:p>
    <w:p w14:paraId="76AAD59B" w14:textId="77777777" w:rsidR="00261E94" w:rsidRPr="00771FE0" w:rsidRDefault="00261E94" w:rsidP="00261E94">
      <w:pPr>
        <w:pStyle w:val="NoSpacing"/>
        <w:ind w:left="720"/>
        <w:rPr>
          <w:rFonts w:cstheme="minorHAnsi"/>
        </w:rPr>
      </w:pPr>
      <w:r w:rsidRPr="00771FE0">
        <w:rPr>
          <w:rFonts w:cstheme="minorHAnsi"/>
        </w:rPr>
        <w:t>A</w:t>
      </w:r>
      <w:r w:rsidRPr="00771FE0">
        <w:rPr>
          <w:rFonts w:cstheme="minorHAnsi"/>
          <w:vertAlign w:val="subscript"/>
        </w:rPr>
        <w:t>ki0</w:t>
      </w:r>
      <w:r w:rsidRPr="00771FE0">
        <w:rPr>
          <w:rFonts w:cstheme="minorHAnsi"/>
        </w:rPr>
        <w:t xml:space="preserve"> = Age at Exam1 (baseline).  This controls for age and cohort effects assuming that period effects are null.</w:t>
      </w:r>
    </w:p>
    <w:p w14:paraId="12D19419" w14:textId="77777777" w:rsidR="00261E94" w:rsidRPr="00771FE0" w:rsidRDefault="00261E94" w:rsidP="00261E94">
      <w:pPr>
        <w:pStyle w:val="NoSpacing"/>
        <w:ind w:firstLine="720"/>
        <w:rPr>
          <w:rFonts w:cstheme="minorHAnsi"/>
        </w:rPr>
      </w:pPr>
      <w:r w:rsidRPr="00771FE0">
        <w:rPr>
          <w:rFonts w:cstheme="minorHAnsi"/>
        </w:rPr>
        <w:t>Cov</w:t>
      </w:r>
      <w:r w:rsidRPr="00771FE0">
        <w:rPr>
          <w:rFonts w:cstheme="minorHAnsi"/>
          <w:vertAlign w:val="subscript"/>
        </w:rPr>
        <w:t>ki0</w:t>
      </w:r>
      <w:r w:rsidRPr="00771FE0">
        <w:rPr>
          <w:rFonts w:cstheme="minorHAnsi"/>
        </w:rPr>
        <w:t xml:space="preserve"> = Covariates for adjustment at Exam1 (baseline - not time varying)</w:t>
      </w:r>
    </w:p>
    <w:p w14:paraId="0D2B2F12" w14:textId="77777777" w:rsidR="00261E94" w:rsidRPr="00771FE0" w:rsidRDefault="00261E94" w:rsidP="00261E94">
      <w:pPr>
        <w:pStyle w:val="NoSpacing"/>
        <w:ind w:firstLine="720"/>
        <w:rPr>
          <w:rFonts w:cstheme="minorHAnsi"/>
        </w:rPr>
      </w:pPr>
      <w:r w:rsidRPr="00771FE0">
        <w:rPr>
          <w:rFonts w:cstheme="minorHAnsi"/>
        </w:rPr>
        <w:t>CovT</w:t>
      </w:r>
      <w:r w:rsidRPr="00771FE0">
        <w:rPr>
          <w:rFonts w:cstheme="minorHAnsi"/>
          <w:vertAlign w:val="subscript"/>
        </w:rPr>
        <w:t>kit</w:t>
      </w:r>
      <w:r w:rsidRPr="00771FE0">
        <w:rPr>
          <w:rFonts w:cstheme="minorHAnsi"/>
        </w:rPr>
        <w:t xml:space="preserve"> = Time Varying covariates for adjustment</w:t>
      </w:r>
    </w:p>
    <w:p w14:paraId="4CB96A8E"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0</w:t>
      </w:r>
      <w:r w:rsidRPr="00771FE0">
        <w:rPr>
          <w:rFonts w:cstheme="minorHAnsi"/>
        </w:rPr>
        <w:t>= Intercept</w:t>
      </w:r>
    </w:p>
    <w:p w14:paraId="00399917"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1</w:t>
      </w:r>
      <w:r w:rsidRPr="00771FE0">
        <w:rPr>
          <w:rFonts w:cstheme="minorHAnsi"/>
        </w:rPr>
        <w:t>= Coefficient for baseline neighborhood exposure</w:t>
      </w:r>
    </w:p>
    <w:p w14:paraId="3CB2B01E"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2</w:t>
      </w:r>
      <w:r w:rsidRPr="00771FE0">
        <w:rPr>
          <w:rFonts w:cstheme="minorHAnsi"/>
        </w:rPr>
        <w:t>= Coefficient for time trend</w:t>
      </w:r>
    </w:p>
    <w:p w14:paraId="2E1B418C" w14:textId="75FEA41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3</w:t>
      </w:r>
      <w:r w:rsidRPr="00771FE0">
        <w:rPr>
          <w:rFonts w:cstheme="minorHAnsi"/>
        </w:rPr>
        <w:t xml:space="preserve">= Coefficient for the </w:t>
      </w:r>
      <w:r w:rsidR="00D13A31" w:rsidRPr="00771FE0">
        <w:rPr>
          <w:rFonts w:cstheme="minorHAnsi"/>
        </w:rPr>
        <w:t xml:space="preserve">cumulative </w:t>
      </w:r>
      <w:r w:rsidRPr="00771FE0">
        <w:rPr>
          <w:rFonts w:cstheme="minorHAnsi"/>
        </w:rPr>
        <w:t>neighborhood exposure with change in outcome over time</w:t>
      </w:r>
    </w:p>
    <w:p w14:paraId="66AE6722"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4</w:t>
      </w:r>
      <w:r w:rsidRPr="00771FE0">
        <w:rPr>
          <w:rFonts w:cstheme="minorHAnsi"/>
        </w:rPr>
        <w:t>= Coefficient for baseline age effect</w:t>
      </w:r>
    </w:p>
    <w:p w14:paraId="4BB763EF"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5</w:t>
      </w:r>
      <w:r w:rsidRPr="00771FE0">
        <w:rPr>
          <w:rFonts w:cstheme="minorHAnsi"/>
        </w:rPr>
        <w:t>= Coefficient for baseline age with change in outcome over time</w:t>
      </w:r>
    </w:p>
    <w:p w14:paraId="5581A6D5"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m</w:t>
      </w:r>
      <w:r w:rsidRPr="00771FE0">
        <w:rPr>
          <w:rFonts w:cstheme="minorHAnsi"/>
        </w:rPr>
        <w:t>= Coefficients for baseline covariates</w:t>
      </w:r>
    </w:p>
    <w:p w14:paraId="69EA1F81"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n</w:t>
      </w:r>
      <w:r w:rsidRPr="00771FE0">
        <w:rPr>
          <w:rFonts w:cstheme="minorHAnsi"/>
        </w:rPr>
        <w:t>= Coefficients for baseline covariates with change in outcome over time</w:t>
      </w:r>
    </w:p>
    <w:p w14:paraId="55C787CE" w14:textId="77777777" w:rsidR="00261E94" w:rsidRPr="00771FE0" w:rsidRDefault="00261E94" w:rsidP="00261E94">
      <w:pPr>
        <w:pStyle w:val="NoSpacing"/>
        <w:ind w:firstLine="720"/>
        <w:rPr>
          <w:rFonts w:cstheme="minorHAnsi"/>
        </w:rPr>
      </w:pPr>
      <w:r w:rsidRPr="00771FE0">
        <w:rPr>
          <w:rFonts w:cstheme="minorHAnsi"/>
          <w:lang w:val="el-GR"/>
        </w:rPr>
        <w:t>β</w:t>
      </w:r>
      <w:r w:rsidRPr="00771FE0">
        <w:rPr>
          <w:rFonts w:cstheme="minorHAnsi"/>
          <w:vertAlign w:val="subscript"/>
        </w:rPr>
        <w:t>p</w:t>
      </w:r>
      <w:r w:rsidRPr="00771FE0">
        <w:rPr>
          <w:rFonts w:cstheme="minorHAnsi"/>
        </w:rPr>
        <w:t>= Coefficients for time varying covariates</w:t>
      </w:r>
    </w:p>
    <w:p w14:paraId="62B1D1E9" w14:textId="77777777" w:rsidR="00261E94" w:rsidRPr="00771FE0" w:rsidRDefault="00261E94" w:rsidP="00261E94">
      <w:pPr>
        <w:pStyle w:val="NoSpacing"/>
        <w:ind w:firstLine="720"/>
        <w:rPr>
          <w:rFonts w:cstheme="minorHAnsi"/>
        </w:rPr>
      </w:pPr>
      <w:r w:rsidRPr="00771FE0">
        <w:rPr>
          <w:rFonts w:cstheme="minorHAnsi"/>
        </w:rPr>
        <w:t>η</w:t>
      </w:r>
      <w:r w:rsidRPr="00771FE0">
        <w:rPr>
          <w:rFonts w:cstheme="minorHAnsi"/>
          <w:vertAlign w:val="subscript"/>
        </w:rPr>
        <w:t>k</w:t>
      </w:r>
      <w:r w:rsidRPr="00771FE0">
        <w:rPr>
          <w:rFonts w:cstheme="minorHAnsi"/>
        </w:rPr>
        <w:t xml:space="preserve"> =</w:t>
      </w:r>
      <w:r w:rsidRPr="00771FE0">
        <w:rPr>
          <w:rFonts w:cstheme="minorHAnsi"/>
          <w:vertAlign w:val="subscript"/>
        </w:rPr>
        <w:t xml:space="preserve"> </w:t>
      </w:r>
      <w:r w:rsidRPr="00771FE0">
        <w:rPr>
          <w:rFonts w:cstheme="minorHAnsi"/>
        </w:rPr>
        <w:t>Random effect for neighborhood intercept</w:t>
      </w:r>
    </w:p>
    <w:p w14:paraId="5ACEBCF2" w14:textId="77777777" w:rsidR="00261E94" w:rsidRPr="00771FE0" w:rsidRDefault="00261E94" w:rsidP="00261E94">
      <w:pPr>
        <w:pStyle w:val="NoSpacing"/>
        <w:ind w:firstLine="720"/>
        <w:rPr>
          <w:rFonts w:cstheme="minorHAnsi"/>
        </w:rPr>
      </w:pPr>
      <w:r w:rsidRPr="00771FE0">
        <w:rPr>
          <w:rFonts w:cstheme="minorHAnsi"/>
        </w:rPr>
        <w:t>α</w:t>
      </w:r>
      <w:r w:rsidRPr="00771FE0">
        <w:rPr>
          <w:rFonts w:cstheme="minorHAnsi"/>
          <w:vertAlign w:val="subscript"/>
        </w:rPr>
        <w:t>ki</w:t>
      </w:r>
      <w:r w:rsidRPr="00771FE0">
        <w:rPr>
          <w:rFonts w:cstheme="minorHAnsi"/>
        </w:rPr>
        <w:t>= Random effect for person i intercept</w:t>
      </w:r>
    </w:p>
    <w:p w14:paraId="48337FEF" w14:textId="77777777" w:rsidR="00261E94" w:rsidRPr="00771FE0" w:rsidRDefault="00261E94" w:rsidP="00261E94">
      <w:pPr>
        <w:pStyle w:val="NoSpacing"/>
        <w:ind w:firstLine="720"/>
        <w:rPr>
          <w:rFonts w:cstheme="minorHAnsi"/>
        </w:rPr>
      </w:pPr>
      <w:r w:rsidRPr="00771FE0">
        <w:rPr>
          <w:rFonts w:cstheme="minorHAnsi"/>
          <w:lang w:val="el-GR"/>
        </w:rPr>
        <w:t>ν</w:t>
      </w:r>
      <w:r w:rsidRPr="00771FE0">
        <w:rPr>
          <w:rFonts w:cstheme="minorHAnsi"/>
          <w:vertAlign w:val="subscript"/>
        </w:rPr>
        <w:t>ki</w:t>
      </w:r>
      <w:r w:rsidRPr="00771FE0">
        <w:rPr>
          <w:rFonts w:cstheme="minorHAnsi"/>
        </w:rPr>
        <w:t>*T</w:t>
      </w:r>
      <w:r w:rsidRPr="00771FE0">
        <w:rPr>
          <w:rFonts w:cstheme="minorHAnsi"/>
          <w:vertAlign w:val="subscript"/>
        </w:rPr>
        <w:t>kit</w:t>
      </w:r>
      <w:r w:rsidRPr="00771FE0">
        <w:rPr>
          <w:rFonts w:cstheme="minorHAnsi"/>
        </w:rPr>
        <w:t>= Random effect for person i time slope</w:t>
      </w:r>
    </w:p>
    <w:p w14:paraId="7A82A494" w14:textId="00F0BAC7" w:rsidR="00771FE0" w:rsidRDefault="00261E94" w:rsidP="00771FE0">
      <w:pPr>
        <w:pStyle w:val="NoSpacing"/>
        <w:ind w:firstLine="720"/>
        <w:rPr>
          <w:rFonts w:cstheme="minorHAnsi"/>
        </w:rPr>
      </w:pPr>
      <w:r w:rsidRPr="00771FE0">
        <w:rPr>
          <w:rFonts w:cstheme="minorHAnsi"/>
        </w:rPr>
        <w:t>e</w:t>
      </w:r>
      <w:r w:rsidRPr="00771FE0">
        <w:rPr>
          <w:rFonts w:cstheme="minorHAnsi"/>
          <w:i/>
          <w:iCs/>
          <w:vertAlign w:val="subscript"/>
        </w:rPr>
        <w:t>kit</w:t>
      </w:r>
      <w:r w:rsidRPr="00771FE0">
        <w:rPr>
          <w:rFonts w:cstheme="minorHAnsi"/>
        </w:rPr>
        <w:t xml:space="preserve"> = measurement error associated with outcome</w:t>
      </w:r>
    </w:p>
    <w:p w14:paraId="2E3A2542" w14:textId="77777777" w:rsidR="00771FE0" w:rsidRDefault="00771FE0" w:rsidP="00771FE0">
      <w:pPr>
        <w:pStyle w:val="NoSpacing"/>
        <w:rPr>
          <w:rFonts w:cstheme="minorHAnsi"/>
        </w:rPr>
      </w:pPr>
    </w:p>
    <w:p w14:paraId="30E3A2F5" w14:textId="55CB7282" w:rsidR="00771FE0" w:rsidRDefault="00771FE0" w:rsidP="00771FE0">
      <w:pPr>
        <w:pStyle w:val="NoSpacing"/>
        <w:rPr>
          <w:rFonts w:cstheme="minorHAnsi"/>
          <w:sz w:val="20"/>
          <w:szCs w:val="20"/>
        </w:rPr>
      </w:pPr>
      <w:r>
        <w:rPr>
          <w:rFonts w:cstheme="minorHAnsi"/>
        </w:rPr>
        <w:t>For the land use measures, if a participant moved outside the study area where data was collected, land use measures are missing for those exams but a cumulative average is still available.  This was calculated as the cumulative average to the point when they moved, then carried forward for future dates.  You may want to exclude anyone whos</w:t>
      </w:r>
      <w:r w:rsidR="00226EAB">
        <w:rPr>
          <w:rFonts w:cstheme="minorHAnsi"/>
        </w:rPr>
        <w:t>e</w:t>
      </w:r>
      <w:r>
        <w:rPr>
          <w:rFonts w:cstheme="minorHAnsi"/>
        </w:rPr>
        <w:t xml:space="preserve"> land use buffer (</w:t>
      </w:r>
      <w:r>
        <w:rPr>
          <w:rFonts w:cstheme="minorHAnsi"/>
          <w:sz w:val="20"/>
          <w:szCs w:val="20"/>
        </w:rPr>
        <w:t>PCTLU0, PCTLU1) is zero (outside study area).</w:t>
      </w:r>
    </w:p>
    <w:p w14:paraId="5C240334" w14:textId="77777777" w:rsidR="00B25D00" w:rsidRDefault="00B25D00" w:rsidP="00771FE0">
      <w:pPr>
        <w:pStyle w:val="NoSpacing"/>
        <w:rPr>
          <w:rFonts w:cstheme="minorHAnsi"/>
          <w:sz w:val="20"/>
          <w:szCs w:val="20"/>
        </w:rPr>
      </w:pPr>
    </w:p>
    <w:p w14:paraId="308E834D" w14:textId="23790F0C" w:rsidR="00B25D00" w:rsidRPr="00771FE0" w:rsidRDefault="00B25D00" w:rsidP="00B25D00">
      <w:pPr>
        <w:pStyle w:val="Heading2"/>
      </w:pPr>
      <w:r>
        <w:t>Interpolations</w:t>
      </w:r>
    </w:p>
    <w:p w14:paraId="2367657B" w14:textId="4FC54F33" w:rsidR="00B25D00" w:rsidRDefault="005D45DE" w:rsidP="005D45DE">
      <w:r>
        <w:t>The built environment data of land use, population density, streets, and public transportation are not available yearly.  For most of this data, it is only available at two points in time.  This means that multiple visits are assigned to the same built environment data and reduces the possible variation in the measures. Interpolations, which create a linear slope to extract a value for each point in time, were created to allow for more variation across visits.</w:t>
      </w:r>
    </w:p>
    <w:p w14:paraId="486074BE" w14:textId="77777777" w:rsidR="002D3D6F" w:rsidRDefault="002D3D6F" w:rsidP="002D3D6F">
      <w:r>
        <w:t>First a date was assigned to each type of data as follows:</w:t>
      </w:r>
    </w:p>
    <w:p w14:paraId="376B700B" w14:textId="77777777" w:rsidR="002D3D6F" w:rsidRDefault="002D3D6F" w:rsidP="002D3D6F">
      <w:pPr>
        <w:pStyle w:val="NoSpacing"/>
      </w:pPr>
      <w:r>
        <w:tab/>
        <w:t>Population/Population Density/Streets.</w:t>
      </w:r>
      <w:r>
        <w:tab/>
        <w:t>Two time points are available.</w:t>
      </w:r>
    </w:p>
    <w:p w14:paraId="2FB639BA" w14:textId="77777777" w:rsidR="002D3D6F" w:rsidRDefault="002D3D6F" w:rsidP="002D3D6F">
      <w:pPr>
        <w:pStyle w:val="NoSpacing"/>
        <w:ind w:left="720" w:firstLine="720"/>
      </w:pPr>
      <w:r>
        <w:t>Census/Roads 2000 = 7/1/2000 (mid-point of the year 2000)</w:t>
      </w:r>
    </w:p>
    <w:p w14:paraId="7CD16557" w14:textId="77777777" w:rsidR="002D3D6F" w:rsidRDefault="002D3D6F" w:rsidP="002D3D6F">
      <w:pPr>
        <w:pStyle w:val="NoSpacing"/>
      </w:pPr>
      <w:r>
        <w:tab/>
      </w:r>
      <w:r>
        <w:tab/>
        <w:t>Census/Roads 2010 = 7/1/2010 (mid-point of the year 2010)</w:t>
      </w:r>
    </w:p>
    <w:p w14:paraId="0829B378" w14:textId="77777777" w:rsidR="002D3D6F" w:rsidRDefault="002D3D6F" w:rsidP="002D3D6F">
      <w:pPr>
        <w:pStyle w:val="NoSpacing"/>
        <w:ind w:left="720"/>
      </w:pPr>
    </w:p>
    <w:p w14:paraId="42D6B59F" w14:textId="77777777" w:rsidR="002D3D6F" w:rsidRDefault="002D3D6F" w:rsidP="002D3D6F">
      <w:pPr>
        <w:pStyle w:val="NoSpacing"/>
        <w:ind w:left="720"/>
      </w:pPr>
      <w:r>
        <w:lastRenderedPageBreak/>
        <w:t>Public Transportation.  Site specific based on when data was available.  Only created for sites where there were at least two time points available.  This was only CA (trains and bus), MN (bus), and NC (bus).</w:t>
      </w:r>
    </w:p>
    <w:p w14:paraId="420262FD" w14:textId="77777777" w:rsidR="002D3D6F" w:rsidRDefault="002D3D6F" w:rsidP="002D3D6F">
      <w:pPr>
        <w:pStyle w:val="NoSpacing"/>
      </w:pPr>
      <w:r>
        <w:tab/>
      </w:r>
      <w:r>
        <w:tab/>
        <w:t>CA Trains.  Three time points are available.</w:t>
      </w:r>
    </w:p>
    <w:p w14:paraId="709C4FA9" w14:textId="77777777" w:rsidR="002D3D6F" w:rsidRDefault="002D3D6F" w:rsidP="002D3D6F">
      <w:pPr>
        <w:pStyle w:val="NoSpacing"/>
      </w:pPr>
      <w:r>
        <w:tab/>
      </w:r>
      <w:r>
        <w:tab/>
      </w:r>
      <w:r>
        <w:tab/>
        <w:t>2006 Trains = 7/1/2006 (mid-point of year 2006)</w:t>
      </w:r>
    </w:p>
    <w:p w14:paraId="37A8F8BC" w14:textId="77777777" w:rsidR="002D3D6F" w:rsidRDefault="002D3D6F" w:rsidP="002D3D6F">
      <w:pPr>
        <w:pStyle w:val="NoSpacing"/>
      </w:pPr>
      <w:r>
        <w:tab/>
      </w:r>
      <w:r>
        <w:tab/>
      </w:r>
      <w:r>
        <w:tab/>
        <w:t>2010 Trains = 7/1/2010 (mid-point of year 2010)</w:t>
      </w:r>
    </w:p>
    <w:p w14:paraId="685B252D" w14:textId="77777777" w:rsidR="002D3D6F" w:rsidRDefault="002D3D6F" w:rsidP="002D3D6F">
      <w:pPr>
        <w:pStyle w:val="NoSpacing"/>
      </w:pPr>
      <w:r>
        <w:tab/>
      </w:r>
      <w:r>
        <w:tab/>
      </w:r>
      <w:r>
        <w:tab/>
        <w:t>2012 Trains = 7/1/2012 (mid-point of year 2012)</w:t>
      </w:r>
    </w:p>
    <w:p w14:paraId="0BAE2A3C" w14:textId="77777777" w:rsidR="002D3D6F" w:rsidRDefault="002D3D6F" w:rsidP="002D3D6F">
      <w:pPr>
        <w:pStyle w:val="NoSpacing"/>
      </w:pPr>
      <w:r>
        <w:tab/>
      </w:r>
      <w:r>
        <w:tab/>
        <w:t>CA Bus.  Four time points are available.</w:t>
      </w:r>
    </w:p>
    <w:p w14:paraId="3396EF14" w14:textId="77777777" w:rsidR="002D3D6F" w:rsidRDefault="002D3D6F" w:rsidP="002D3D6F">
      <w:pPr>
        <w:pStyle w:val="NoSpacing"/>
      </w:pPr>
      <w:r>
        <w:tab/>
      </w:r>
      <w:r>
        <w:tab/>
      </w:r>
      <w:r>
        <w:tab/>
        <w:t>2005 Buses = 7/1/2005 (mid-point of year 2005)</w:t>
      </w:r>
    </w:p>
    <w:p w14:paraId="405E9D58" w14:textId="77777777" w:rsidR="002D3D6F" w:rsidRDefault="002D3D6F" w:rsidP="002D3D6F">
      <w:pPr>
        <w:pStyle w:val="NoSpacing"/>
      </w:pPr>
      <w:r>
        <w:tab/>
      </w:r>
      <w:r>
        <w:tab/>
      </w:r>
      <w:r>
        <w:tab/>
        <w:t>2007 Buses = 7/1/2007 (mid-point of year 2007)</w:t>
      </w:r>
    </w:p>
    <w:p w14:paraId="08C712F6" w14:textId="77777777" w:rsidR="002D3D6F" w:rsidRDefault="002D3D6F" w:rsidP="002D3D6F">
      <w:pPr>
        <w:pStyle w:val="NoSpacing"/>
      </w:pPr>
      <w:r>
        <w:tab/>
      </w:r>
      <w:r>
        <w:tab/>
      </w:r>
      <w:r>
        <w:tab/>
        <w:t>2010 Buses = 7/1/2010 (mid-point of year 2010)</w:t>
      </w:r>
    </w:p>
    <w:p w14:paraId="582F209C" w14:textId="77777777" w:rsidR="002D3D6F" w:rsidRDefault="002D3D6F" w:rsidP="002D3D6F">
      <w:pPr>
        <w:pStyle w:val="NoSpacing"/>
      </w:pPr>
      <w:r>
        <w:tab/>
      </w:r>
      <w:r>
        <w:tab/>
      </w:r>
      <w:r>
        <w:tab/>
        <w:t>2012 Buses = 7/1/2012 (mid-point of year 2012)</w:t>
      </w:r>
    </w:p>
    <w:p w14:paraId="2302F82F" w14:textId="77777777" w:rsidR="002D3D6F" w:rsidRDefault="002D3D6F" w:rsidP="002D3D6F">
      <w:pPr>
        <w:pStyle w:val="NoSpacing"/>
      </w:pPr>
      <w:r>
        <w:tab/>
      </w:r>
      <w:r>
        <w:tab/>
        <w:t>MN Bus. Two time points are available.</w:t>
      </w:r>
    </w:p>
    <w:p w14:paraId="43F7F20C" w14:textId="77777777" w:rsidR="002D3D6F" w:rsidRDefault="002D3D6F" w:rsidP="002D3D6F">
      <w:pPr>
        <w:pStyle w:val="NoSpacing"/>
      </w:pPr>
      <w:r>
        <w:tab/>
      </w:r>
      <w:r>
        <w:tab/>
      </w:r>
      <w:r>
        <w:tab/>
        <w:t>2005 Buses = 7/1/2005 (mid-point of year 2005)</w:t>
      </w:r>
    </w:p>
    <w:p w14:paraId="1A0DA16F" w14:textId="77777777" w:rsidR="002D3D6F" w:rsidRDefault="002D3D6F" w:rsidP="002D3D6F">
      <w:pPr>
        <w:pStyle w:val="NoSpacing"/>
      </w:pPr>
      <w:r>
        <w:tab/>
      </w:r>
      <w:r>
        <w:tab/>
      </w:r>
      <w:r>
        <w:tab/>
        <w:t>2009 Buses = 7/1/2009 (mid-point of year 2009)</w:t>
      </w:r>
    </w:p>
    <w:p w14:paraId="17F6E875" w14:textId="77777777" w:rsidR="002D3D6F" w:rsidRDefault="002D3D6F" w:rsidP="002D3D6F">
      <w:pPr>
        <w:pStyle w:val="NoSpacing"/>
      </w:pPr>
      <w:r>
        <w:tab/>
      </w:r>
      <w:r>
        <w:tab/>
        <w:t>NC Bus.  Two time points are available.</w:t>
      </w:r>
    </w:p>
    <w:p w14:paraId="76408EC4" w14:textId="77777777" w:rsidR="002D3D6F" w:rsidRDefault="002D3D6F" w:rsidP="002D3D6F">
      <w:pPr>
        <w:pStyle w:val="NoSpacing"/>
      </w:pPr>
      <w:r>
        <w:tab/>
      </w:r>
      <w:r>
        <w:tab/>
      </w:r>
      <w:r>
        <w:tab/>
        <w:t>2001 Buses = 7/1/2001 (mid-point of year 2001)</w:t>
      </w:r>
    </w:p>
    <w:p w14:paraId="25B1F33C" w14:textId="77777777" w:rsidR="002D3D6F" w:rsidRDefault="002D3D6F" w:rsidP="002D3D6F">
      <w:pPr>
        <w:pStyle w:val="NoSpacing"/>
      </w:pPr>
      <w:r>
        <w:tab/>
      </w:r>
      <w:r>
        <w:tab/>
      </w:r>
      <w:r>
        <w:tab/>
        <w:t>2009 Buses = 7/1/2009 (mid-point of year 2009)</w:t>
      </w:r>
    </w:p>
    <w:p w14:paraId="36CD0C34" w14:textId="77777777" w:rsidR="002D3D6F" w:rsidRDefault="002D3D6F" w:rsidP="002D3D6F">
      <w:pPr>
        <w:pStyle w:val="NoSpacing"/>
        <w:ind w:firstLine="720"/>
      </w:pPr>
    </w:p>
    <w:p w14:paraId="735A04B3" w14:textId="77777777" w:rsidR="002D3D6F" w:rsidRDefault="002D3D6F" w:rsidP="002D3D6F">
      <w:pPr>
        <w:pStyle w:val="NoSpacing"/>
        <w:ind w:firstLine="720"/>
      </w:pPr>
      <w:r>
        <w:t>Land Use.  Site specific based on when data was available.  All sites have at least 2 time points.</w:t>
      </w:r>
    </w:p>
    <w:p w14:paraId="5F7330C0" w14:textId="77777777" w:rsidR="002D3D6F" w:rsidRDefault="002D3D6F" w:rsidP="002D3D6F">
      <w:pPr>
        <w:pStyle w:val="NoSpacing"/>
      </w:pPr>
      <w:r>
        <w:tab/>
      </w:r>
      <w:r>
        <w:tab/>
        <w:t>CA Land Use.  Three time points are available.</w:t>
      </w:r>
    </w:p>
    <w:p w14:paraId="61221AFA" w14:textId="77777777" w:rsidR="002D3D6F" w:rsidRDefault="002D3D6F" w:rsidP="002D3D6F">
      <w:pPr>
        <w:pStyle w:val="NoSpacing"/>
      </w:pPr>
      <w:r>
        <w:tab/>
      </w:r>
      <w:r>
        <w:tab/>
      </w:r>
      <w:r>
        <w:tab/>
        <w:t>2001 Land Use = 7/1/2001 (mid-point of year 2001)</w:t>
      </w:r>
    </w:p>
    <w:p w14:paraId="7471D1DE" w14:textId="77777777" w:rsidR="002D3D6F" w:rsidRDefault="002D3D6F" w:rsidP="002D3D6F">
      <w:pPr>
        <w:pStyle w:val="NoSpacing"/>
      </w:pPr>
      <w:r>
        <w:tab/>
      </w:r>
      <w:r>
        <w:tab/>
      </w:r>
      <w:r>
        <w:tab/>
        <w:t>2005 Land Use = 7/1/2005 (mid-point of year 2005)</w:t>
      </w:r>
    </w:p>
    <w:p w14:paraId="4D8D24D0" w14:textId="77777777" w:rsidR="002D3D6F" w:rsidRDefault="002D3D6F" w:rsidP="002D3D6F">
      <w:pPr>
        <w:pStyle w:val="NoSpacing"/>
      </w:pPr>
      <w:r>
        <w:tab/>
      </w:r>
      <w:r>
        <w:tab/>
      </w:r>
      <w:r>
        <w:tab/>
        <w:t>2008 Land Use = 7/1/2008 (mid-point of year 2008)</w:t>
      </w:r>
    </w:p>
    <w:p w14:paraId="3ACA2072" w14:textId="77777777" w:rsidR="002D3D6F" w:rsidRDefault="002D3D6F" w:rsidP="002D3D6F">
      <w:pPr>
        <w:pStyle w:val="NoSpacing"/>
      </w:pPr>
      <w:r>
        <w:tab/>
      </w:r>
      <w:r>
        <w:tab/>
        <w:t>IL Land Use.  Two time points are available.</w:t>
      </w:r>
    </w:p>
    <w:p w14:paraId="774B89EE" w14:textId="77777777" w:rsidR="002D3D6F" w:rsidRDefault="002D3D6F" w:rsidP="002D3D6F">
      <w:pPr>
        <w:pStyle w:val="NoSpacing"/>
      </w:pPr>
      <w:r>
        <w:tab/>
      </w:r>
      <w:r>
        <w:tab/>
      </w:r>
      <w:r>
        <w:tab/>
        <w:t>2001 Land Use = 7/1/2001 (mid-point of year 2001)</w:t>
      </w:r>
    </w:p>
    <w:p w14:paraId="27F76B78" w14:textId="77777777" w:rsidR="002D3D6F" w:rsidRDefault="002D3D6F" w:rsidP="002D3D6F">
      <w:pPr>
        <w:pStyle w:val="NoSpacing"/>
      </w:pPr>
      <w:r>
        <w:tab/>
      </w:r>
      <w:r>
        <w:tab/>
      </w:r>
      <w:r>
        <w:tab/>
        <w:t>2005 Land Use = 7/1/2005 (mid-point of year 2005)</w:t>
      </w:r>
    </w:p>
    <w:p w14:paraId="59E2A5BF" w14:textId="77777777" w:rsidR="002D3D6F" w:rsidRDefault="002D3D6F" w:rsidP="002D3D6F">
      <w:pPr>
        <w:pStyle w:val="NoSpacing"/>
      </w:pPr>
      <w:r>
        <w:tab/>
      </w:r>
      <w:r>
        <w:tab/>
        <w:t>MD Land Use.  Two time points are available.</w:t>
      </w:r>
    </w:p>
    <w:p w14:paraId="66FD7158" w14:textId="77777777" w:rsidR="002D3D6F" w:rsidRDefault="002D3D6F" w:rsidP="002D3D6F">
      <w:pPr>
        <w:pStyle w:val="NoSpacing"/>
      </w:pPr>
      <w:r>
        <w:tab/>
      </w:r>
      <w:r>
        <w:tab/>
      </w:r>
      <w:r>
        <w:tab/>
        <w:t>2002 Land Use = 7/1/2002 (mid-point of year 2002)</w:t>
      </w:r>
    </w:p>
    <w:p w14:paraId="23F21875" w14:textId="77777777" w:rsidR="002D3D6F" w:rsidRDefault="002D3D6F" w:rsidP="002D3D6F">
      <w:pPr>
        <w:pStyle w:val="NoSpacing"/>
      </w:pPr>
      <w:r>
        <w:tab/>
      </w:r>
      <w:r>
        <w:tab/>
      </w:r>
      <w:r>
        <w:tab/>
        <w:t>2008 Land Use = 7/1/2008 (mid-point of year 2008)</w:t>
      </w:r>
    </w:p>
    <w:p w14:paraId="19A11207" w14:textId="77777777" w:rsidR="002D3D6F" w:rsidRDefault="002D3D6F" w:rsidP="002D3D6F">
      <w:pPr>
        <w:pStyle w:val="NoSpacing"/>
      </w:pPr>
      <w:r>
        <w:tab/>
      </w:r>
      <w:r>
        <w:tab/>
        <w:t>MN Land Use.  Two time points are available.</w:t>
      </w:r>
    </w:p>
    <w:p w14:paraId="533D61FF" w14:textId="77777777" w:rsidR="002D3D6F" w:rsidRDefault="002D3D6F" w:rsidP="002D3D6F">
      <w:pPr>
        <w:pStyle w:val="NoSpacing"/>
      </w:pPr>
      <w:r>
        <w:tab/>
      </w:r>
      <w:r>
        <w:tab/>
      </w:r>
      <w:r>
        <w:tab/>
        <w:t>2006 Land Use = 7/1/2006 (mid-point of year 2006)</w:t>
      </w:r>
    </w:p>
    <w:p w14:paraId="74E54A1A" w14:textId="77777777" w:rsidR="002D3D6F" w:rsidRDefault="002D3D6F" w:rsidP="002D3D6F">
      <w:pPr>
        <w:pStyle w:val="NoSpacing"/>
      </w:pPr>
      <w:r>
        <w:tab/>
      </w:r>
      <w:r>
        <w:tab/>
      </w:r>
      <w:r>
        <w:tab/>
        <w:t>2010 Land Use = 7/1/2010 (mid-point of year 2010)</w:t>
      </w:r>
    </w:p>
    <w:p w14:paraId="1B58B8D0" w14:textId="77777777" w:rsidR="002D3D6F" w:rsidRDefault="002D3D6F" w:rsidP="002D3D6F">
      <w:pPr>
        <w:pStyle w:val="NoSpacing"/>
      </w:pPr>
      <w:r>
        <w:tab/>
      </w:r>
      <w:r>
        <w:tab/>
        <w:t>NC Land Use.  Two time points are available.</w:t>
      </w:r>
    </w:p>
    <w:p w14:paraId="35B6D6A9" w14:textId="77777777" w:rsidR="002D3D6F" w:rsidRDefault="002D3D6F" w:rsidP="002D3D6F">
      <w:pPr>
        <w:pStyle w:val="NoSpacing"/>
      </w:pPr>
      <w:r>
        <w:tab/>
      </w:r>
      <w:r>
        <w:tab/>
      </w:r>
      <w:r>
        <w:tab/>
        <w:t>2005 Land Use = 7/1/2005 (mid-point of year 2005)</w:t>
      </w:r>
    </w:p>
    <w:p w14:paraId="4255D5BB" w14:textId="77777777" w:rsidR="002D3D6F" w:rsidRDefault="002D3D6F" w:rsidP="002D3D6F">
      <w:pPr>
        <w:pStyle w:val="NoSpacing"/>
      </w:pPr>
      <w:r>
        <w:tab/>
      </w:r>
      <w:r>
        <w:tab/>
      </w:r>
      <w:r>
        <w:tab/>
        <w:t>2010 Land Use = 7/1/2010 (mid-point of year 2010)</w:t>
      </w:r>
    </w:p>
    <w:p w14:paraId="71F53395" w14:textId="77777777" w:rsidR="002D3D6F" w:rsidRDefault="002D3D6F" w:rsidP="002D3D6F">
      <w:pPr>
        <w:pStyle w:val="NoSpacing"/>
      </w:pPr>
      <w:r>
        <w:tab/>
      </w:r>
      <w:r>
        <w:tab/>
        <w:t>NY Land Use.  Five time points are available.</w:t>
      </w:r>
    </w:p>
    <w:p w14:paraId="66C8D45C" w14:textId="77777777" w:rsidR="002D3D6F" w:rsidRDefault="002D3D6F" w:rsidP="002D3D6F">
      <w:pPr>
        <w:pStyle w:val="NoSpacing"/>
      </w:pPr>
      <w:r>
        <w:tab/>
      </w:r>
      <w:r>
        <w:tab/>
      </w:r>
      <w:r>
        <w:tab/>
        <w:t>2002 Land Use = 7/1/2002 (mid-point of year 2002)</w:t>
      </w:r>
    </w:p>
    <w:p w14:paraId="4187C994" w14:textId="77777777" w:rsidR="002D3D6F" w:rsidRDefault="002D3D6F" w:rsidP="002D3D6F">
      <w:pPr>
        <w:pStyle w:val="NoSpacing"/>
      </w:pPr>
      <w:r>
        <w:tab/>
      </w:r>
      <w:r>
        <w:tab/>
      </w:r>
      <w:r>
        <w:tab/>
        <w:t>2003 Land Use = 7/1/2003 (mid-point of year 2003)</w:t>
      </w:r>
    </w:p>
    <w:p w14:paraId="114D0BC9" w14:textId="77777777" w:rsidR="002D3D6F" w:rsidRDefault="002D3D6F" w:rsidP="002D3D6F">
      <w:pPr>
        <w:pStyle w:val="NoSpacing"/>
      </w:pPr>
      <w:r>
        <w:tab/>
      </w:r>
      <w:r>
        <w:tab/>
      </w:r>
      <w:r>
        <w:tab/>
        <w:t>2004 Land Use = 7/1/2004 (mid-point of year 2004)</w:t>
      </w:r>
    </w:p>
    <w:p w14:paraId="53C9C967" w14:textId="77777777" w:rsidR="002D3D6F" w:rsidRDefault="002D3D6F" w:rsidP="002D3D6F">
      <w:pPr>
        <w:pStyle w:val="NoSpacing"/>
      </w:pPr>
      <w:r>
        <w:tab/>
      </w:r>
      <w:r>
        <w:tab/>
      </w:r>
      <w:r>
        <w:tab/>
        <w:t>2006 Land Use = 7/1/2006 (mid-point of year 2006)</w:t>
      </w:r>
    </w:p>
    <w:p w14:paraId="7F4054C6" w14:textId="77777777" w:rsidR="002D3D6F" w:rsidRDefault="002D3D6F" w:rsidP="002D3D6F">
      <w:pPr>
        <w:pStyle w:val="NoSpacing"/>
      </w:pPr>
      <w:r>
        <w:tab/>
      </w:r>
      <w:r>
        <w:tab/>
      </w:r>
      <w:r>
        <w:tab/>
        <w:t>2011 Land Use = 7/1/2011 (mid-point of year 2011)</w:t>
      </w:r>
    </w:p>
    <w:p w14:paraId="62012065" w14:textId="77777777" w:rsidR="002D3D6F" w:rsidRDefault="002D3D6F" w:rsidP="002D3D6F"/>
    <w:p w14:paraId="6044B541" w14:textId="77777777" w:rsidR="002D3D6F" w:rsidRDefault="002D3D6F" w:rsidP="002D3D6F">
      <w:r>
        <w:t>The difference between these dates was calculated in days to use in calculating the slope.  For example, for the CA Land Use, time differences in days were calculated for Land Use 2005-Land Use 2001 (7/1/2005-7/1/2001) and Land Use 2008-Land Use 2005 (7/1/2008-7/1/2005).</w:t>
      </w:r>
    </w:p>
    <w:p w14:paraId="46EA7467" w14:textId="77777777" w:rsidR="002D3D6F" w:rsidRDefault="002D3D6F" w:rsidP="002D3D6F">
      <w:r>
        <w:lastRenderedPageBreak/>
        <w:t>Next, the differences were created between the values of the built environment variables for each adjacent time period.  For example, for the CA Land Use, differences were created for Land Use Variable 2005-Land Use Variable 2001 and Land Use Variable 2008-Land Use Variable 2005.</w:t>
      </w:r>
    </w:p>
    <w:p w14:paraId="2B805B93" w14:textId="77777777" w:rsidR="002D3D6F" w:rsidRDefault="002D3D6F" w:rsidP="002D3D6F">
      <w:r>
        <w:t>To create the final slope, the difference in the value was divided by the difference in time.  This gives the slope in the PER DAY change for the built environment variable.</w:t>
      </w:r>
    </w:p>
    <w:p w14:paraId="73E40EBF" w14:textId="77777777" w:rsidR="002D3D6F" w:rsidRDefault="002D3D6F" w:rsidP="002D3D6F">
      <w:r>
        <w:t>The interpolated values were created as follows:</w:t>
      </w:r>
    </w:p>
    <w:p w14:paraId="0F16A841" w14:textId="77777777" w:rsidR="002D3D6F" w:rsidRDefault="002D3D6F" w:rsidP="002D3D6F">
      <w:pPr>
        <w:pStyle w:val="NoSpacing"/>
        <w:ind w:firstLine="720"/>
      </w:pPr>
      <w:r>
        <w:t>Variables with 5 dates (NY Land Use):</w:t>
      </w:r>
    </w:p>
    <w:p w14:paraId="73418A9F" w14:textId="77777777" w:rsidR="002D3D6F" w:rsidRDefault="002D3D6F" w:rsidP="002D3D6F">
      <w:pPr>
        <w:pStyle w:val="NoSpacing"/>
        <w:ind w:left="720" w:firstLine="720"/>
      </w:pPr>
      <w:r>
        <w:t>if date ~=. and date &lt;= refdate2 then do;</w:t>
      </w:r>
    </w:p>
    <w:p w14:paraId="346FDAC4" w14:textId="77777777" w:rsidR="002D3D6F" w:rsidRDefault="002D3D6F" w:rsidP="002D3D6F">
      <w:pPr>
        <w:pStyle w:val="NoSpacing"/>
      </w:pPr>
      <w:r>
        <w:tab/>
      </w:r>
      <w:r>
        <w:tab/>
      </w:r>
      <w:r>
        <w:tab/>
        <w:t>Interpolated value = (slope1*(date - refdate1)) + value@time1;</w:t>
      </w:r>
    </w:p>
    <w:p w14:paraId="42286559" w14:textId="77777777" w:rsidR="002D3D6F" w:rsidRDefault="002D3D6F" w:rsidP="002D3D6F">
      <w:pPr>
        <w:pStyle w:val="NoSpacing"/>
        <w:ind w:left="720" w:firstLine="720"/>
      </w:pPr>
      <w:r>
        <w:t>end;</w:t>
      </w:r>
    </w:p>
    <w:p w14:paraId="22C4E080" w14:textId="77777777" w:rsidR="002D3D6F" w:rsidRDefault="002D3D6F" w:rsidP="002D3D6F">
      <w:pPr>
        <w:pStyle w:val="NoSpacing"/>
        <w:ind w:left="720" w:firstLine="720"/>
      </w:pPr>
      <w:r>
        <w:t>else if date ~=. and date &lt;= refdate3 then do;</w:t>
      </w:r>
    </w:p>
    <w:p w14:paraId="75E547D1" w14:textId="77777777" w:rsidR="002D3D6F" w:rsidRDefault="002D3D6F" w:rsidP="002D3D6F">
      <w:pPr>
        <w:pStyle w:val="NoSpacing"/>
      </w:pPr>
      <w:r>
        <w:tab/>
      </w:r>
      <w:r>
        <w:tab/>
      </w:r>
      <w:r>
        <w:tab/>
        <w:t>Interpolated value = (slope2*(date - refdate2)) + value@time2;</w:t>
      </w:r>
    </w:p>
    <w:p w14:paraId="78011B67" w14:textId="77777777" w:rsidR="002D3D6F" w:rsidRDefault="002D3D6F" w:rsidP="002D3D6F">
      <w:pPr>
        <w:pStyle w:val="NoSpacing"/>
        <w:ind w:left="720" w:firstLine="720"/>
      </w:pPr>
      <w:r>
        <w:t>end;</w:t>
      </w:r>
    </w:p>
    <w:p w14:paraId="5D852FA2" w14:textId="77777777" w:rsidR="002D3D6F" w:rsidRDefault="002D3D6F" w:rsidP="002D3D6F">
      <w:pPr>
        <w:pStyle w:val="NoSpacing"/>
        <w:ind w:left="720" w:firstLine="720"/>
      </w:pPr>
      <w:r>
        <w:t>else if date ~=. and date &lt;= refdate4 then do;</w:t>
      </w:r>
    </w:p>
    <w:p w14:paraId="5981455F" w14:textId="77777777" w:rsidR="002D3D6F" w:rsidRDefault="002D3D6F" w:rsidP="002D3D6F">
      <w:pPr>
        <w:pStyle w:val="NoSpacing"/>
      </w:pPr>
      <w:r>
        <w:tab/>
      </w:r>
      <w:r>
        <w:tab/>
      </w:r>
      <w:r>
        <w:tab/>
        <w:t>Interpolated value = (slope3*(date - refdate3)) + value@time3;</w:t>
      </w:r>
    </w:p>
    <w:p w14:paraId="4F4F4073" w14:textId="77777777" w:rsidR="002D3D6F" w:rsidRDefault="002D3D6F" w:rsidP="002D3D6F">
      <w:pPr>
        <w:pStyle w:val="NoSpacing"/>
        <w:ind w:left="720" w:firstLine="720"/>
      </w:pPr>
      <w:r>
        <w:t>end;</w:t>
      </w:r>
    </w:p>
    <w:p w14:paraId="2E686E0B" w14:textId="77777777" w:rsidR="002D3D6F" w:rsidRDefault="002D3D6F" w:rsidP="002D3D6F">
      <w:pPr>
        <w:pStyle w:val="NoSpacing"/>
        <w:ind w:left="720" w:firstLine="720"/>
      </w:pPr>
      <w:r>
        <w:t>else if date ~=. and refdate4 &lt; date then do;</w:t>
      </w:r>
    </w:p>
    <w:p w14:paraId="775275E8" w14:textId="77777777" w:rsidR="002D3D6F" w:rsidRDefault="002D3D6F" w:rsidP="002D3D6F">
      <w:pPr>
        <w:pStyle w:val="NoSpacing"/>
      </w:pPr>
      <w:r>
        <w:tab/>
      </w:r>
      <w:r>
        <w:tab/>
      </w:r>
      <w:r>
        <w:tab/>
        <w:t>Interpolated value = (slope4*(date - refdate4)) + value@time4;</w:t>
      </w:r>
    </w:p>
    <w:p w14:paraId="31824449" w14:textId="77777777" w:rsidR="002D3D6F" w:rsidRDefault="002D3D6F" w:rsidP="002D3D6F">
      <w:pPr>
        <w:pStyle w:val="NoSpacing"/>
        <w:ind w:left="720" w:firstLine="720"/>
      </w:pPr>
      <w:r>
        <w:t>end;</w:t>
      </w:r>
    </w:p>
    <w:p w14:paraId="6D8279DC" w14:textId="77777777" w:rsidR="002D3D6F" w:rsidRDefault="002D3D6F" w:rsidP="002D3D6F">
      <w:pPr>
        <w:pStyle w:val="NoSpacing"/>
      </w:pPr>
    </w:p>
    <w:p w14:paraId="4189E8DA" w14:textId="77777777" w:rsidR="002D3D6F" w:rsidRDefault="002D3D6F" w:rsidP="002D3D6F">
      <w:pPr>
        <w:pStyle w:val="NoSpacing"/>
        <w:ind w:firstLine="720"/>
      </w:pPr>
      <w:r>
        <w:t>Variables with 4 dates (CA Bus):</w:t>
      </w:r>
    </w:p>
    <w:p w14:paraId="62B6DDAB" w14:textId="77777777" w:rsidR="002D3D6F" w:rsidRDefault="002D3D6F" w:rsidP="002D3D6F">
      <w:pPr>
        <w:pStyle w:val="NoSpacing"/>
        <w:ind w:left="720" w:firstLine="720"/>
      </w:pPr>
      <w:r>
        <w:t>if date ~=. and date &lt;= refdate2 then do;</w:t>
      </w:r>
    </w:p>
    <w:p w14:paraId="1C62C73C" w14:textId="77777777" w:rsidR="002D3D6F" w:rsidRDefault="002D3D6F" w:rsidP="002D3D6F">
      <w:pPr>
        <w:pStyle w:val="NoSpacing"/>
      </w:pPr>
      <w:r>
        <w:tab/>
      </w:r>
      <w:r>
        <w:tab/>
      </w:r>
      <w:r>
        <w:tab/>
        <w:t>Interpolated value = (slope1*(date - refdate1)) + value@time1;</w:t>
      </w:r>
    </w:p>
    <w:p w14:paraId="148201AC" w14:textId="77777777" w:rsidR="002D3D6F" w:rsidRDefault="002D3D6F" w:rsidP="002D3D6F">
      <w:pPr>
        <w:pStyle w:val="NoSpacing"/>
        <w:ind w:left="720" w:firstLine="720"/>
      </w:pPr>
      <w:r>
        <w:t>end;</w:t>
      </w:r>
    </w:p>
    <w:p w14:paraId="5A86D1CA" w14:textId="77777777" w:rsidR="002D3D6F" w:rsidRDefault="002D3D6F" w:rsidP="002D3D6F">
      <w:pPr>
        <w:pStyle w:val="NoSpacing"/>
        <w:ind w:left="720" w:firstLine="720"/>
      </w:pPr>
      <w:r>
        <w:t>else if date ~=. and date &lt;= refdate3 then do;</w:t>
      </w:r>
    </w:p>
    <w:p w14:paraId="012B15F7" w14:textId="77777777" w:rsidR="002D3D6F" w:rsidRDefault="002D3D6F" w:rsidP="002D3D6F">
      <w:pPr>
        <w:pStyle w:val="NoSpacing"/>
      </w:pPr>
      <w:r>
        <w:tab/>
      </w:r>
      <w:r>
        <w:tab/>
      </w:r>
      <w:r>
        <w:tab/>
        <w:t>Interpolated value = (slope2*(date - refdate2)) + value@time2;</w:t>
      </w:r>
    </w:p>
    <w:p w14:paraId="6CF66790" w14:textId="77777777" w:rsidR="002D3D6F" w:rsidRDefault="002D3D6F" w:rsidP="002D3D6F">
      <w:pPr>
        <w:pStyle w:val="NoSpacing"/>
        <w:ind w:left="720" w:firstLine="720"/>
      </w:pPr>
      <w:r>
        <w:t>end;</w:t>
      </w:r>
    </w:p>
    <w:p w14:paraId="43F0006A" w14:textId="77777777" w:rsidR="002D3D6F" w:rsidRDefault="002D3D6F" w:rsidP="002D3D6F">
      <w:pPr>
        <w:pStyle w:val="NoSpacing"/>
        <w:ind w:left="720" w:firstLine="720"/>
      </w:pPr>
      <w:r>
        <w:t>else if date ~=. and refdate3 &lt; date then do;</w:t>
      </w:r>
    </w:p>
    <w:p w14:paraId="694CC689" w14:textId="77777777" w:rsidR="002D3D6F" w:rsidRDefault="002D3D6F" w:rsidP="002D3D6F">
      <w:pPr>
        <w:pStyle w:val="NoSpacing"/>
      </w:pPr>
      <w:r>
        <w:tab/>
      </w:r>
      <w:r>
        <w:tab/>
      </w:r>
      <w:r>
        <w:tab/>
        <w:t>Interpolated value = (slope3*(date - refdate3)) + value@time3;</w:t>
      </w:r>
    </w:p>
    <w:p w14:paraId="4169626A" w14:textId="77777777" w:rsidR="002D3D6F" w:rsidRDefault="002D3D6F" w:rsidP="002D3D6F">
      <w:pPr>
        <w:pStyle w:val="NoSpacing"/>
        <w:ind w:left="720" w:firstLine="720"/>
      </w:pPr>
      <w:r>
        <w:t>end;</w:t>
      </w:r>
    </w:p>
    <w:p w14:paraId="02F164E3" w14:textId="77777777" w:rsidR="002D3D6F" w:rsidRDefault="002D3D6F" w:rsidP="002D3D6F">
      <w:pPr>
        <w:pStyle w:val="NoSpacing"/>
      </w:pPr>
    </w:p>
    <w:p w14:paraId="01B80CEB" w14:textId="77777777" w:rsidR="002D3D6F" w:rsidRDefault="002D3D6F" w:rsidP="002D3D6F">
      <w:pPr>
        <w:pStyle w:val="NoSpacing"/>
        <w:ind w:firstLine="720"/>
      </w:pPr>
      <w:r>
        <w:t>Variables with 3 dates (CA Train, CA Land Use)</w:t>
      </w:r>
    </w:p>
    <w:p w14:paraId="0CD44C8C" w14:textId="77777777" w:rsidR="002D3D6F" w:rsidRDefault="002D3D6F" w:rsidP="002D3D6F">
      <w:pPr>
        <w:pStyle w:val="NoSpacing"/>
        <w:ind w:left="720" w:firstLine="720"/>
      </w:pPr>
      <w:r>
        <w:t>if date ~=. and date &lt;= refdate2 then do;</w:t>
      </w:r>
    </w:p>
    <w:p w14:paraId="478951AC" w14:textId="77777777" w:rsidR="002D3D6F" w:rsidRDefault="002D3D6F" w:rsidP="002D3D6F">
      <w:pPr>
        <w:pStyle w:val="NoSpacing"/>
      </w:pPr>
      <w:r>
        <w:tab/>
      </w:r>
      <w:r>
        <w:tab/>
      </w:r>
      <w:r>
        <w:tab/>
        <w:t>Interpolated value = (slope1*(date - refdate1)) + value@time1;</w:t>
      </w:r>
    </w:p>
    <w:p w14:paraId="7A0F1C40" w14:textId="77777777" w:rsidR="002D3D6F" w:rsidRDefault="002D3D6F" w:rsidP="002D3D6F">
      <w:pPr>
        <w:pStyle w:val="NoSpacing"/>
        <w:ind w:left="720" w:firstLine="720"/>
      </w:pPr>
      <w:r>
        <w:t>end;</w:t>
      </w:r>
    </w:p>
    <w:p w14:paraId="30BBB90A" w14:textId="77777777" w:rsidR="002D3D6F" w:rsidRDefault="002D3D6F" w:rsidP="002D3D6F">
      <w:pPr>
        <w:pStyle w:val="NoSpacing"/>
        <w:ind w:left="720" w:firstLine="720"/>
      </w:pPr>
      <w:r>
        <w:t>else if date ~=. and refdate2 &lt; date then do;</w:t>
      </w:r>
    </w:p>
    <w:p w14:paraId="2CB67CCA" w14:textId="77777777" w:rsidR="002D3D6F" w:rsidRDefault="002D3D6F" w:rsidP="002D3D6F">
      <w:pPr>
        <w:pStyle w:val="NoSpacing"/>
      </w:pPr>
      <w:r>
        <w:tab/>
      </w:r>
      <w:r>
        <w:tab/>
      </w:r>
      <w:r>
        <w:tab/>
        <w:t>Interpolated value = (slope2*(date - refdate2)) + value@time2;</w:t>
      </w:r>
    </w:p>
    <w:p w14:paraId="6FDE2826" w14:textId="77777777" w:rsidR="002D3D6F" w:rsidRDefault="002D3D6F" w:rsidP="002D3D6F">
      <w:pPr>
        <w:pStyle w:val="NoSpacing"/>
        <w:ind w:left="720" w:firstLine="720"/>
      </w:pPr>
      <w:r>
        <w:t>end;</w:t>
      </w:r>
    </w:p>
    <w:p w14:paraId="38B720AF" w14:textId="77777777" w:rsidR="002D3D6F" w:rsidRDefault="002D3D6F" w:rsidP="002D3D6F">
      <w:pPr>
        <w:pStyle w:val="NoSpacing"/>
      </w:pPr>
    </w:p>
    <w:p w14:paraId="646D9C2F" w14:textId="77777777" w:rsidR="002D3D6F" w:rsidRDefault="002D3D6F" w:rsidP="002D3D6F">
      <w:pPr>
        <w:pStyle w:val="NoSpacing"/>
        <w:ind w:left="720"/>
      </w:pPr>
      <w:r>
        <w:t>Variables with 2 dates (Population, Streets, MN Bus, NC Bus, IL Land Use, MD Land Use, MN Land Use, NC Land Use)</w:t>
      </w:r>
    </w:p>
    <w:p w14:paraId="5C0DA345" w14:textId="77777777" w:rsidR="002D3D6F" w:rsidRDefault="002D3D6F" w:rsidP="002D3D6F">
      <w:pPr>
        <w:pStyle w:val="NoSpacing"/>
        <w:ind w:left="1440"/>
      </w:pPr>
      <w:r>
        <w:t>Interpolated value = (slope1*(date - refdate1)) + value@time1;</w:t>
      </w:r>
    </w:p>
    <w:p w14:paraId="5BC5C4C3" w14:textId="77777777" w:rsidR="008E16E3" w:rsidRDefault="008E16E3" w:rsidP="005D45DE"/>
    <w:p w14:paraId="10B69AE1" w14:textId="03B1B76A" w:rsidR="002D3D6F" w:rsidRPr="00771FE0" w:rsidRDefault="008E16E3" w:rsidP="005D45DE">
      <w:pPr>
        <w:rPr>
          <w:rFonts w:cstheme="minorHAnsi"/>
        </w:rPr>
      </w:pPr>
      <w:r>
        <w:lastRenderedPageBreak/>
        <w:t>The caps for variables were set to be 0 and 1 for any percentage variables.  For other variables, the caps were set to be the minimum and maximum of any value for that variable within that study site.</w:t>
      </w:r>
    </w:p>
    <w:sectPr w:rsidR="002D3D6F" w:rsidRPr="00771FE0" w:rsidSect="00550E7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B3FB" w14:textId="77777777" w:rsidR="00CB6A4E" w:rsidRDefault="00CB6A4E" w:rsidP="00CF029D">
      <w:pPr>
        <w:spacing w:after="0" w:line="240" w:lineRule="auto"/>
      </w:pPr>
      <w:r>
        <w:separator/>
      </w:r>
    </w:p>
  </w:endnote>
  <w:endnote w:type="continuationSeparator" w:id="0">
    <w:p w14:paraId="768E7CE1" w14:textId="77777777" w:rsidR="00CB6A4E" w:rsidRDefault="00CB6A4E" w:rsidP="00C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AS Monospace">
    <w:panose1 w:val="020B0609020202020204"/>
    <w:charset w:val="00"/>
    <w:family w:val="modern"/>
    <w:pitch w:val="fixed"/>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GkbvftAdvTTf1279dcd">
    <w:panose1 w:val="00000000000000000000"/>
    <w:charset w:val="00"/>
    <w:family w:val="roman"/>
    <w:notTrueType/>
    <w:pitch w:val="default"/>
    <w:sig w:usb0="00000003" w:usb1="00000000" w:usb2="00000000" w:usb3="00000000" w:csb0="00000001" w:csb1="00000000"/>
  </w:font>
  <w:font w:name="NewsGothic">
    <w:panose1 w:val="00000000000000000000"/>
    <w:charset w:val="00"/>
    <w:family w:val="swiss"/>
    <w:notTrueType/>
    <w:pitch w:val="default"/>
    <w:sig w:usb0="00000003" w:usb1="00000000" w:usb2="00000000" w:usb3="00000000" w:csb0="00000001"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AdvTTb20e5d60">
    <w:panose1 w:val="00000000000000000000"/>
    <w:charset w:val="00"/>
    <w:family w:val="roman"/>
    <w:notTrueType/>
    <w:pitch w:val="default"/>
    <w:sig w:usb0="00000003" w:usb1="00000000" w:usb2="00000000" w:usb3="00000000" w:csb0="00000001" w:csb1="00000000"/>
  </w:font>
  <w:font w:name="AdvP405B6">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FKHDD B+ Adv O T 863180fb+fb">
    <w:altName w:val="Adv OT 86318 0fb+fb"/>
    <w:panose1 w:val="00000000000000000000"/>
    <w:charset w:val="00"/>
    <w:family w:val="swiss"/>
    <w:notTrueType/>
    <w:pitch w:val="default"/>
    <w:sig w:usb0="00000003" w:usb1="00000000" w:usb2="00000000" w:usb3="00000000" w:csb0="00000001" w:csb1="00000000"/>
  </w:font>
  <w:font w:name="AdvOT863180fb+20">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GuardianSansGR-Regular">
    <w:panose1 w:val="00000000000000000000"/>
    <w:charset w:val="00"/>
    <w:family w:val="auto"/>
    <w:notTrueType/>
    <w:pitch w:val="default"/>
    <w:sig w:usb0="00000003" w:usb1="00000000" w:usb2="00000000" w:usb3="00000000" w:csb0="00000001" w:csb1="00000000"/>
  </w:font>
  <w:font w:name="FKJJD L+ Adv T T 2876772e+ 23">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OT0231c847">
    <w:panose1 w:val="00000000000000000000"/>
    <w:charset w:val="00"/>
    <w:family w:val="swiss"/>
    <w:notTrueType/>
    <w:pitch w:val="default"/>
    <w:sig w:usb0="00000003" w:usb1="00000000" w:usb2="00000000" w:usb3="00000000" w:csb0="00000001" w:csb1="00000000"/>
  </w:font>
  <w:font w:name="AdvOTbe4cb9cb">
    <w:panose1 w:val="00000000000000000000"/>
    <w:charset w:val="00"/>
    <w:family w:val="swiss"/>
    <w:notTrueType/>
    <w:pitch w:val="default"/>
    <w:sig w:usb0="00000003" w:usb1="00000000" w:usb2="00000000" w:usb3="00000000" w:csb0="00000001" w:csb1="00000000"/>
  </w:font>
  <w:font w:name="GuardianSans-RegularIt">
    <w:panose1 w:val="00000000000000000000"/>
    <w:charset w:val="00"/>
    <w:family w:val="auto"/>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TimesLTStd-Italic">
    <w:panose1 w:val="00000000000000000000"/>
    <w:charset w:val="00"/>
    <w:family w:val="auto"/>
    <w:notTrueType/>
    <w:pitch w:val="default"/>
    <w:sig w:usb0="00000003" w:usb1="00000000" w:usb2="00000000" w:usb3="00000000" w:csb0="00000001" w:csb1="00000000"/>
  </w:font>
  <w:font w:name="AdvOT3c2d9f11">
    <w:panose1 w:val="00000000000000000000"/>
    <w:charset w:val="00"/>
    <w:family w:val="roman"/>
    <w:notTrueType/>
    <w:pitch w:val="default"/>
    <w:sig w:usb0="00000003" w:usb1="00000000" w:usb2="00000000" w:usb3="00000000" w:csb0="00000001" w:csb1="00000000"/>
  </w:font>
  <w:font w:name="AdvOT3c2d9f11+fb">
    <w:panose1 w:val="00000000000000000000"/>
    <w:charset w:val="00"/>
    <w:family w:val="auto"/>
    <w:notTrueType/>
    <w:pitch w:val="default"/>
    <w:sig w:usb0="00000003" w:usb1="00000000" w:usb2="00000000" w:usb3="00000000" w:csb0="00000001" w:csb1="00000000"/>
  </w:font>
  <w:font w:name="AdvOT21bf1298.I">
    <w:panose1 w:val="00000000000000000000"/>
    <w:charset w:val="00"/>
    <w:family w:val="roman"/>
    <w:notTrueType/>
    <w:pitch w:val="default"/>
    <w:sig w:usb0="00000003" w:usb1="00000000" w:usb2="00000000" w:usb3="00000000" w:csb0="00000001" w:csb1="00000000"/>
  </w:font>
  <w:font w:name="AdvTT5843c571+20">
    <w:altName w:val="MS Gothic"/>
    <w:panose1 w:val="00000000000000000000"/>
    <w:charset w:val="00"/>
    <w:family w:val="swiss"/>
    <w:notTrueType/>
    <w:pitch w:val="default"/>
    <w:sig w:usb0="00000000" w:usb1="08070000" w:usb2="00000010" w:usb3="00000000" w:csb0="00020001" w:csb1="00000000"/>
  </w:font>
  <w:font w:name="YyqmhlAdvTTf1279dcd+20">
    <w:panose1 w:val="00000000000000000000"/>
    <w:charset w:val="00"/>
    <w:family w:val="swiss"/>
    <w:notTrueType/>
    <w:pitch w:val="default"/>
    <w:sig w:usb0="00000003" w:usb1="00000000" w:usb2="00000000" w:usb3="00000000" w:csb0="00000001" w:csb1="00000000"/>
  </w:font>
  <w:font w:name="MrxjrnAdvTTf1279dcd+fb">
    <w:panose1 w:val="00000000000000000000"/>
    <w:charset w:val="00"/>
    <w:family w:val="auto"/>
    <w:notTrueType/>
    <w:pitch w:val="default"/>
    <w:sig w:usb0="00000003" w:usb1="00000000" w:usb2="00000000" w:usb3="00000000" w:csb0="00000001" w:csb1="00000000"/>
  </w:font>
  <w:font w:name="LyrcsnAdvTTff708297.I">
    <w:panose1 w:val="00000000000000000000"/>
    <w:charset w:val="00"/>
    <w:family w:val="roman"/>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AdvOT65f8a23b.I">
    <w:panose1 w:val="00000000000000000000"/>
    <w:charset w:val="00"/>
    <w:family w:val="swiss"/>
    <w:notTrueType/>
    <w:pitch w:val="default"/>
    <w:sig w:usb0="00000003" w:usb1="00000000" w:usb2="00000000" w:usb3="00000000" w:csb0="00000001" w:csb1="00000000"/>
  </w:font>
  <w:font w:name="AdvOT3b30f6db.B">
    <w:panose1 w:val="00000000000000000000"/>
    <w:charset w:val="00"/>
    <w:family w:val="swiss"/>
    <w:notTrueType/>
    <w:pitch w:val="default"/>
    <w:sig w:usb0="00000003" w:usb1="00000000" w:usb2="00000000" w:usb3="00000000" w:csb0="00000001" w:csb1="00000000"/>
  </w:font>
  <w:font w:name="AdvOT46dcae81+20">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FKHDK P+ Adv O T 863180fb+ 20">
    <w:altName w:val="Adv OT 86318 0fb+"/>
    <w:panose1 w:val="00000000000000000000"/>
    <w:charset w:val="00"/>
    <w:family w:val="swiss"/>
    <w:notTrueType/>
    <w:pitch w:val="default"/>
    <w:sig w:usb0="00000003" w:usb1="00000000" w:usb2="00000000" w:usb3="00000000" w:csb0="00000001" w:csb1="00000000"/>
  </w:font>
  <w:font w:name="AdvP6975">
    <w:panose1 w:val="00000000000000000000"/>
    <w:charset w:val="00"/>
    <w:family w:val="roman"/>
    <w:notTrueType/>
    <w:pitch w:val="default"/>
    <w:sig w:usb0="00000003" w:usb1="00000000" w:usb2="00000000" w:usb3="00000000" w:csb0="00000001" w:csb1="00000000"/>
  </w:font>
  <w:font w:name="AdvP4C4E51">
    <w:panose1 w:val="00000000000000000000"/>
    <w:charset w:val="00"/>
    <w:family w:val="auto"/>
    <w:notTrueType/>
    <w:pitch w:val="default"/>
    <w:sig w:usb0="00000003" w:usb1="00000000" w:usb2="00000000" w:usb3="00000000" w:csb0="00000001" w:csb1="00000000"/>
  </w:font>
  <w:font w:name="AdvP696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8652"/>
      <w:docPartObj>
        <w:docPartGallery w:val="Page Numbers (Bottom of Page)"/>
        <w:docPartUnique/>
      </w:docPartObj>
    </w:sdtPr>
    <w:sdtEndPr>
      <w:rPr>
        <w:noProof/>
      </w:rPr>
    </w:sdtEndPr>
    <w:sdtContent>
      <w:p w14:paraId="3579C967" w14:textId="19305822" w:rsidR="00CB6A4E" w:rsidRDefault="00CB6A4E">
        <w:pPr>
          <w:pStyle w:val="Footer"/>
          <w:jc w:val="right"/>
        </w:pPr>
        <w:r>
          <w:fldChar w:fldCharType="begin"/>
        </w:r>
        <w:r>
          <w:instrText xml:space="preserve"> PAGE   \* MERGEFORMAT </w:instrText>
        </w:r>
        <w:r>
          <w:fldChar w:fldCharType="separate"/>
        </w:r>
        <w:r w:rsidR="006F5F7C">
          <w:rPr>
            <w:noProof/>
          </w:rPr>
          <w:t>56</w:t>
        </w:r>
        <w:r>
          <w:rPr>
            <w:noProof/>
          </w:rPr>
          <w:fldChar w:fldCharType="end"/>
        </w:r>
      </w:p>
    </w:sdtContent>
  </w:sdt>
  <w:p w14:paraId="1C304498" w14:textId="77777777" w:rsidR="00CB6A4E" w:rsidRDefault="00CB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9B921" w14:textId="77777777" w:rsidR="00CB6A4E" w:rsidRDefault="00CB6A4E" w:rsidP="00CF029D">
      <w:pPr>
        <w:spacing w:after="0" w:line="240" w:lineRule="auto"/>
      </w:pPr>
      <w:r>
        <w:separator/>
      </w:r>
    </w:p>
  </w:footnote>
  <w:footnote w:type="continuationSeparator" w:id="0">
    <w:p w14:paraId="0175DE31" w14:textId="77777777" w:rsidR="00CB6A4E" w:rsidRDefault="00CB6A4E" w:rsidP="00CF029D">
      <w:pPr>
        <w:spacing w:after="0" w:line="240" w:lineRule="auto"/>
      </w:pPr>
      <w:r>
        <w:continuationSeparator/>
      </w:r>
    </w:p>
  </w:footnote>
  <w:footnote w:id="1">
    <w:p w14:paraId="330E1BD6" w14:textId="77777777" w:rsidR="007A3B73" w:rsidRPr="00FF50C8" w:rsidRDefault="007A3B73" w:rsidP="007A3B73">
      <w:pPr>
        <w:autoSpaceDE w:val="0"/>
        <w:autoSpaceDN w:val="0"/>
        <w:adjustRightInd w:val="0"/>
        <w:spacing w:after="0" w:line="240" w:lineRule="auto"/>
        <w:rPr>
          <w:rFonts w:cs="AdvP49811"/>
        </w:rPr>
      </w:pPr>
      <w:r>
        <w:rPr>
          <w:rStyle w:val="FootnoteReference"/>
        </w:rPr>
        <w:footnoteRef/>
      </w:r>
      <w:r>
        <w:t xml:space="preserve"> </w:t>
      </w:r>
      <w:r w:rsidRPr="00CF5625">
        <w:rPr>
          <w:rFonts w:cs="AdvP49811"/>
        </w:rPr>
        <w:t xml:space="preserve">Walls and Associates (2010) National Establishment Time-Series (NETS) Database: Database Description. Available: </w:t>
      </w:r>
      <w:hyperlink r:id="rId1" w:history="1">
        <w:r w:rsidRPr="00CF5625">
          <w:rPr>
            <w:rStyle w:val="Hyperlink"/>
            <w:rFonts w:cs="AdvP49811"/>
            <w:color w:val="auto"/>
          </w:rPr>
          <w:t>http://youreconomy.org/pages/walls.lasso</w:t>
        </w:r>
      </w:hyperlink>
      <w:r w:rsidRPr="00CF5625">
        <w:rPr>
          <w:rFonts w:cs="AdvP49811"/>
        </w:rPr>
        <w:t xml:space="preserve">. </w:t>
      </w:r>
      <w:r w:rsidRPr="00CF5625">
        <w:rPr>
          <w:rFonts w:cs="GkbvftAdvTTf1279dcd"/>
          <w:color w:val="131413"/>
        </w:rPr>
        <w:t xml:space="preserve">Accessed </w:t>
      </w:r>
      <w:r w:rsidRPr="00CF5625">
        <w:rPr>
          <w:rFonts w:cs="NewsGothic"/>
        </w:rPr>
        <w:t>July 23, 2013</w:t>
      </w:r>
      <w:r w:rsidRPr="00CF5625">
        <w:rPr>
          <w:rFonts w:cs="AdvP49811"/>
        </w:rPr>
        <w:t>.</w:t>
      </w:r>
    </w:p>
  </w:footnote>
  <w:footnote w:id="2">
    <w:p w14:paraId="371D392D" w14:textId="77777777" w:rsidR="007A3B73" w:rsidRDefault="007A3B73" w:rsidP="007A3B73">
      <w:pPr>
        <w:pStyle w:val="FootnoteText"/>
      </w:pPr>
      <w:r>
        <w:rPr>
          <w:rStyle w:val="FootnoteReference"/>
        </w:rPr>
        <w:footnoteRef/>
      </w:r>
      <w:r>
        <w:t xml:space="preserve"> </w:t>
      </w:r>
      <w:r w:rsidRPr="001B3110">
        <w:t xml:space="preserve">Hirsch, J.A., et al., </w:t>
      </w:r>
      <w:r w:rsidRPr="001B3110">
        <w:rPr>
          <w:i/>
        </w:rPr>
        <w:t>Built environment change and change in BMI and waist circumference: Multi-ethnic Study of Atherosclerosis.</w:t>
      </w:r>
      <w:r w:rsidRPr="001B3110">
        <w:t xml:space="preserve"> Obesity (Silver Spring), 2014. </w:t>
      </w:r>
      <w:r w:rsidRPr="001B3110">
        <w:rPr>
          <w:b/>
        </w:rPr>
        <w:t>22</w:t>
      </w:r>
      <w:r w:rsidRPr="001B3110">
        <w:t>(11): p. 2450-7</w:t>
      </w:r>
    </w:p>
  </w:footnote>
  <w:footnote w:id="3">
    <w:p w14:paraId="330D7879" w14:textId="39F056D3" w:rsidR="00CB6A4E" w:rsidRPr="00FF50C8" w:rsidRDefault="00CB6A4E" w:rsidP="00FF50C8">
      <w:pPr>
        <w:autoSpaceDE w:val="0"/>
        <w:autoSpaceDN w:val="0"/>
        <w:adjustRightInd w:val="0"/>
        <w:spacing w:after="0" w:line="240" w:lineRule="auto"/>
        <w:rPr>
          <w:rFonts w:cs="AdvP49811"/>
        </w:rPr>
      </w:pPr>
      <w:r>
        <w:rPr>
          <w:rStyle w:val="FootnoteReference"/>
        </w:rPr>
        <w:footnoteRef/>
      </w:r>
      <w:r>
        <w:t xml:space="preserve"> </w:t>
      </w:r>
      <w:r w:rsidRPr="00CF5625">
        <w:rPr>
          <w:rFonts w:cs="AdvP49811"/>
        </w:rPr>
        <w:t xml:space="preserve">Walls and Associates (2010) National Establishment Time-Series (NETS) Database: Database Description. Available: </w:t>
      </w:r>
      <w:hyperlink r:id="rId2" w:history="1">
        <w:r w:rsidRPr="00CF5625">
          <w:rPr>
            <w:rStyle w:val="Hyperlink"/>
            <w:rFonts w:cs="AdvP49811"/>
            <w:color w:val="auto"/>
          </w:rPr>
          <w:t>http://youreconomy.org/pages/walls.lasso</w:t>
        </w:r>
      </w:hyperlink>
      <w:r w:rsidRPr="00CF5625">
        <w:rPr>
          <w:rFonts w:cs="AdvP49811"/>
        </w:rPr>
        <w:t xml:space="preserve">. </w:t>
      </w:r>
      <w:r w:rsidRPr="00CF5625">
        <w:rPr>
          <w:rFonts w:cs="GkbvftAdvTTf1279dcd"/>
          <w:color w:val="131413"/>
        </w:rPr>
        <w:t xml:space="preserve">Accessed </w:t>
      </w:r>
      <w:r w:rsidRPr="00CF5625">
        <w:rPr>
          <w:rFonts w:cs="NewsGothic"/>
        </w:rPr>
        <w:t>July 23, 2013</w:t>
      </w:r>
      <w:r w:rsidRPr="00CF5625">
        <w:rPr>
          <w:rFonts w:cs="AdvP49811"/>
        </w:rPr>
        <w:t>.</w:t>
      </w:r>
    </w:p>
  </w:footnote>
  <w:footnote w:id="4">
    <w:p w14:paraId="55359CFF" w14:textId="3AE8664E" w:rsidR="00CB6A4E" w:rsidRDefault="00CB6A4E">
      <w:pPr>
        <w:pStyle w:val="FootnoteText"/>
      </w:pPr>
      <w:r>
        <w:rPr>
          <w:rStyle w:val="FootnoteReference"/>
        </w:rPr>
        <w:footnoteRef/>
      </w:r>
      <w:r>
        <w:t xml:space="preserve"> </w:t>
      </w:r>
      <w:r w:rsidRPr="00CF5625">
        <w:rPr>
          <w:rFonts w:cs="AdvOT863180fb"/>
          <w:sz w:val="22"/>
          <w:szCs w:val="22"/>
        </w:rPr>
        <w:t>Silverman BW. Density Estimation for Statistics and Data Analysis. London, United Kingdom: Chapman &amp; Hall/CRC; 1986.</w:t>
      </w:r>
    </w:p>
  </w:footnote>
  <w:footnote w:id="5">
    <w:p w14:paraId="3BA48FC8" w14:textId="2F589D17" w:rsidR="00CB6A4E" w:rsidRDefault="00CB6A4E">
      <w:pPr>
        <w:pStyle w:val="FootnoteText"/>
      </w:pPr>
      <w:r>
        <w:rPr>
          <w:rStyle w:val="FootnoteReference"/>
        </w:rPr>
        <w:footnoteRef/>
      </w:r>
      <w:r>
        <w:t xml:space="preserve"> </w:t>
      </w:r>
      <w:r w:rsidRPr="00CF5625">
        <w:rPr>
          <w:rFonts w:cs="AdvP49811"/>
        </w:rPr>
        <w:t>Nielsen Company (2008) Retail Site Database, The Ultimate Source.: Trade Dimensions, a subsidiary of Nielsen Company.</w:t>
      </w:r>
    </w:p>
  </w:footnote>
  <w:footnote w:id="6">
    <w:p w14:paraId="1E31AD91" w14:textId="3E2CF081" w:rsidR="00CB6A4E" w:rsidRDefault="00CB6A4E">
      <w:pPr>
        <w:pStyle w:val="FootnoteText"/>
      </w:pPr>
      <w:r>
        <w:rPr>
          <w:rStyle w:val="FootnoteReference"/>
        </w:rPr>
        <w:footnoteRef/>
      </w:r>
      <w:r>
        <w:t xml:space="preserve"> </w:t>
      </w:r>
      <w:r>
        <w:rPr>
          <w:rFonts w:cstheme="minorHAnsi"/>
        </w:rPr>
        <w:t xml:space="preserve">Hume, Scott (400 Editor). R&amp;I Top 400 Chain Restaurants.  Restaurants &amp; Institutions.  </w:t>
      </w:r>
      <w:hyperlink r:id="rId3" w:history="1">
        <w:r w:rsidRPr="00DB1FE6">
          <w:rPr>
            <w:rStyle w:val="Hyperlink"/>
            <w:rFonts w:cstheme="minorHAnsi"/>
          </w:rPr>
          <w:t>http://www.rimag.com</w:t>
        </w:r>
      </w:hyperlink>
      <w:r w:rsidRPr="002F2F02">
        <w:t>.</w:t>
      </w:r>
    </w:p>
  </w:footnote>
  <w:footnote w:id="7">
    <w:p w14:paraId="1EA788DA" w14:textId="77777777" w:rsidR="00CB6A4E" w:rsidRDefault="00CB6A4E" w:rsidP="00DD7878">
      <w:pPr>
        <w:pStyle w:val="FootnoteText"/>
      </w:pPr>
      <w:r>
        <w:rPr>
          <w:rStyle w:val="FootnoteReference"/>
        </w:rPr>
        <w:footnoteRef/>
      </w:r>
      <w:r>
        <w:t xml:space="preserve"> </w:t>
      </w:r>
      <w:r>
        <w:rPr>
          <w:rFonts w:cstheme="minorHAnsi"/>
        </w:rPr>
        <w:t>Hume, Scott (400 Editor). R&amp;I Top 400 Chain Restaurants.  Restaurants &amp; Institutions.  http://www.rimag.com.</w:t>
      </w:r>
    </w:p>
  </w:footnote>
  <w:footnote w:id="8">
    <w:p w14:paraId="09D31335" w14:textId="3A1D7DFA" w:rsidR="00CB6A4E" w:rsidRPr="00CF5625" w:rsidRDefault="00CB6A4E" w:rsidP="003E6F14">
      <w:pPr>
        <w:autoSpaceDE w:val="0"/>
        <w:autoSpaceDN w:val="0"/>
        <w:adjustRightInd w:val="0"/>
        <w:spacing w:after="0" w:line="240" w:lineRule="auto"/>
        <w:rPr>
          <w:rFonts w:cs="AdvOT3c2d9f11"/>
        </w:rPr>
      </w:pPr>
      <w:r>
        <w:rPr>
          <w:rStyle w:val="FootnoteReference"/>
        </w:rPr>
        <w:footnoteRef/>
      </w:r>
      <w:r>
        <w:t xml:space="preserve"> </w:t>
      </w:r>
      <w:r w:rsidRPr="00CF5625">
        <w:rPr>
          <w:rFonts w:cs="AdvOT3c2d9f11"/>
        </w:rPr>
        <w:t xml:space="preserve">Gordon-Larsen P, Nelson MC, Page P, et al. Inequality in the built environment underlies key health disparities in physical activity and obesity. </w:t>
      </w:r>
      <w:r w:rsidRPr="00CF5625">
        <w:rPr>
          <w:rFonts w:cs="AdvOT21bf1298.I"/>
        </w:rPr>
        <w:t>Pediatrics</w:t>
      </w:r>
      <w:r w:rsidRPr="00CF5625">
        <w:rPr>
          <w:rFonts w:cs="AdvOT3c2d9f11"/>
        </w:rPr>
        <w:t>. 2006;117(2):417</w:t>
      </w:r>
      <w:r w:rsidRPr="00CF5625">
        <w:rPr>
          <w:rFonts w:cs="AdvTT5843c571+20"/>
        </w:rPr>
        <w:t>–</w:t>
      </w:r>
      <w:r w:rsidRPr="00CF5625">
        <w:rPr>
          <w:rFonts w:cs="AdvOT3c2d9f11"/>
        </w:rPr>
        <w:t>424.</w:t>
      </w:r>
    </w:p>
    <w:p w14:paraId="01948776" w14:textId="77777777" w:rsidR="00CB6A4E" w:rsidRPr="00CF5625" w:rsidRDefault="00CB6A4E" w:rsidP="003E6F14">
      <w:pPr>
        <w:autoSpaceDE w:val="0"/>
        <w:autoSpaceDN w:val="0"/>
        <w:adjustRightInd w:val="0"/>
        <w:spacing w:after="0" w:line="240" w:lineRule="auto"/>
        <w:rPr>
          <w:rFonts w:cs="AdvOT3c2d9f11"/>
        </w:rPr>
      </w:pPr>
      <w:r w:rsidRPr="00CF5625">
        <w:rPr>
          <w:rFonts w:cs="AdvOT3c2d9f11"/>
        </w:rPr>
        <w:t>Powell LM, Slater S, Chaloupka FJ, et al. Availability of physical activity</w:t>
      </w:r>
      <w:r w:rsidRPr="00CF5625">
        <w:rPr>
          <w:rFonts w:cs="AdvTT5843c571+20"/>
        </w:rPr>
        <w:t>–</w:t>
      </w:r>
      <w:r w:rsidRPr="00CF5625">
        <w:rPr>
          <w:rFonts w:cs="AdvOT3c2d9f11"/>
        </w:rPr>
        <w:t xml:space="preserve">related facilities and neighborhood demographic and socioeconomic characteristics: a national study. </w:t>
      </w:r>
      <w:r w:rsidRPr="00CF5625">
        <w:rPr>
          <w:rFonts w:cs="AdvOT21bf1298.I"/>
        </w:rPr>
        <w:t>Am J Public Health</w:t>
      </w:r>
      <w:r w:rsidRPr="00CF5625">
        <w:rPr>
          <w:rFonts w:cs="AdvOT3c2d9f11"/>
        </w:rPr>
        <w:t>. 2006;96(9):1676</w:t>
      </w:r>
      <w:r w:rsidRPr="00CF5625">
        <w:rPr>
          <w:rFonts w:cs="AdvTT5843c571+20"/>
        </w:rPr>
        <w:t>–</w:t>
      </w:r>
      <w:r w:rsidRPr="00CF5625">
        <w:rPr>
          <w:rFonts w:cs="AdvOT3c2d9f11"/>
        </w:rPr>
        <w:t>1680.</w:t>
      </w:r>
    </w:p>
    <w:p w14:paraId="026CD848" w14:textId="7DC714F6" w:rsidR="00CB6A4E" w:rsidRDefault="00CB6A4E" w:rsidP="003E6F14">
      <w:pPr>
        <w:pStyle w:val="FootnoteText"/>
      </w:pPr>
    </w:p>
  </w:footnote>
  <w:footnote w:id="9">
    <w:p w14:paraId="15C76464" w14:textId="77777777" w:rsidR="00CB6A4E" w:rsidRDefault="00CB6A4E" w:rsidP="00374973">
      <w:pPr>
        <w:pStyle w:val="FootnoteText"/>
      </w:pPr>
      <w:r>
        <w:rPr>
          <w:rStyle w:val="FootnoteReference"/>
        </w:rPr>
        <w:footnoteRef/>
      </w:r>
      <w:r>
        <w:t xml:space="preserve"> Hoehner CM, Schootman M. Concordance of Commercial Data Sources for Neighborhood-Effects Studies. </w:t>
      </w:r>
      <w:r>
        <w:rPr>
          <w:rStyle w:val="Emphasis"/>
        </w:rPr>
        <w:t>Journal of Urban Health</w:t>
      </w:r>
      <w:r>
        <w:t>, Volume 87, Issue 4, Pages 713-25</w:t>
      </w:r>
    </w:p>
  </w:footnote>
  <w:footnote w:id="10">
    <w:p w14:paraId="2BCA0E6A" w14:textId="77777777" w:rsidR="00CB6A4E" w:rsidRDefault="00CB6A4E" w:rsidP="006C197C">
      <w:pPr>
        <w:pStyle w:val="FootnoteText"/>
      </w:pPr>
      <w:r>
        <w:rPr>
          <w:rStyle w:val="FootnoteReference"/>
        </w:rPr>
        <w:footnoteRef/>
      </w:r>
      <w:r>
        <w:t xml:space="preserve"> Hoehner CM, Schootman M. Concordance of Commercial Data Sources for Neighborhood-Effects Studies. </w:t>
      </w:r>
      <w:r>
        <w:rPr>
          <w:rStyle w:val="Emphasis"/>
        </w:rPr>
        <w:t>Journal of Urban Health</w:t>
      </w:r>
      <w:r>
        <w:t>, Volume 87, Issue 4, Pages 713-25</w:t>
      </w:r>
    </w:p>
  </w:footnote>
  <w:footnote w:id="11">
    <w:p w14:paraId="52625C59" w14:textId="77777777" w:rsidR="00CB6A4E" w:rsidRDefault="00CB6A4E" w:rsidP="006621BE">
      <w:pPr>
        <w:pStyle w:val="FootnoteText"/>
      </w:pPr>
      <w:r>
        <w:rPr>
          <w:rStyle w:val="FootnoteReference"/>
        </w:rPr>
        <w:footnoteRef/>
      </w:r>
      <w:r>
        <w:t xml:space="preserve"> </w:t>
      </w:r>
      <w:r w:rsidRPr="002F7D33">
        <w:rPr>
          <w:rFonts w:ascii="Calibri" w:hAnsi="Calibri"/>
          <w:noProof/>
        </w:rPr>
        <w:t xml:space="preserve">Rodriguez, D.A., et al., </w:t>
      </w:r>
      <w:r w:rsidRPr="002F7D33">
        <w:rPr>
          <w:rFonts w:ascii="Calibri" w:hAnsi="Calibri"/>
          <w:i/>
          <w:noProof/>
        </w:rPr>
        <w:t>Land use, residential density, and walking. The multi-ethnic study of atherosclerosis.</w:t>
      </w:r>
      <w:r w:rsidRPr="002F7D33">
        <w:rPr>
          <w:rFonts w:ascii="Calibri" w:hAnsi="Calibri"/>
          <w:noProof/>
        </w:rPr>
        <w:t xml:space="preserve"> American journal of preventive medicine, 2009. </w:t>
      </w:r>
      <w:r w:rsidRPr="002F7D33">
        <w:rPr>
          <w:rFonts w:ascii="Calibri" w:hAnsi="Calibri"/>
          <w:b/>
          <w:noProof/>
        </w:rPr>
        <w:t>37</w:t>
      </w:r>
      <w:r w:rsidRPr="002F7D33">
        <w:rPr>
          <w:rFonts w:ascii="Calibri" w:hAnsi="Calibri"/>
          <w:noProof/>
        </w:rPr>
        <w:t>(5): p. 397-404.</w:t>
      </w:r>
    </w:p>
  </w:footnote>
  <w:footnote w:id="12">
    <w:p w14:paraId="22D0BCA5" w14:textId="77777777" w:rsidR="00CB6A4E" w:rsidRDefault="00CB6A4E" w:rsidP="0017343B">
      <w:pPr>
        <w:pStyle w:val="FootnoteText"/>
      </w:pPr>
      <w:r>
        <w:rPr>
          <w:rStyle w:val="FootnoteReference"/>
        </w:rPr>
        <w:footnoteRef/>
      </w:r>
      <w:r>
        <w:t xml:space="preserve"> </w:t>
      </w:r>
      <w:r w:rsidRPr="001B3110">
        <w:t xml:space="preserve">Hirsch, J.A., et al., </w:t>
      </w:r>
      <w:r w:rsidRPr="001B3110">
        <w:rPr>
          <w:i/>
        </w:rPr>
        <w:t>Built environment change and change in BMI and waist circumference: Multi-ethnic Study of Atherosclerosis.</w:t>
      </w:r>
      <w:r w:rsidRPr="001B3110">
        <w:t xml:space="preserve"> Obesity (Silver Spring), 2014. </w:t>
      </w:r>
      <w:r w:rsidRPr="001B3110">
        <w:rPr>
          <w:b/>
        </w:rPr>
        <w:t>22</w:t>
      </w:r>
      <w:r w:rsidRPr="001B3110">
        <w:t>(11): p. 2450-7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4A8"/>
    <w:multiLevelType w:val="hybridMultilevel"/>
    <w:tmpl w:val="4BA4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B1358"/>
    <w:multiLevelType w:val="hybridMultilevel"/>
    <w:tmpl w:val="89B20294"/>
    <w:lvl w:ilvl="0" w:tplc="005C20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7076E"/>
    <w:multiLevelType w:val="hybridMultilevel"/>
    <w:tmpl w:val="37F8B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7266B"/>
    <w:multiLevelType w:val="hybridMultilevel"/>
    <w:tmpl w:val="86D87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A1F99"/>
    <w:multiLevelType w:val="hybridMultilevel"/>
    <w:tmpl w:val="E256B906"/>
    <w:lvl w:ilvl="0" w:tplc="8BD616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B85707"/>
    <w:multiLevelType w:val="hybridMultilevel"/>
    <w:tmpl w:val="AB1A9ADC"/>
    <w:lvl w:ilvl="0" w:tplc="9152602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34A71F6C"/>
    <w:multiLevelType w:val="hybridMultilevel"/>
    <w:tmpl w:val="0476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70076"/>
    <w:multiLevelType w:val="hybridMultilevel"/>
    <w:tmpl w:val="A508C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95C6C"/>
    <w:multiLevelType w:val="hybridMultilevel"/>
    <w:tmpl w:val="0BB0A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F3583"/>
    <w:multiLevelType w:val="hybridMultilevel"/>
    <w:tmpl w:val="6B08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8747D"/>
    <w:multiLevelType w:val="hybridMultilevel"/>
    <w:tmpl w:val="280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5B6532"/>
    <w:multiLevelType w:val="hybridMultilevel"/>
    <w:tmpl w:val="03144F24"/>
    <w:lvl w:ilvl="0" w:tplc="A8343D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D6DCA"/>
    <w:multiLevelType w:val="hybridMultilevel"/>
    <w:tmpl w:val="5038F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65AD6"/>
    <w:multiLevelType w:val="hybridMultilevel"/>
    <w:tmpl w:val="29CA6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22F2E"/>
    <w:multiLevelType w:val="hybridMultilevel"/>
    <w:tmpl w:val="549C7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B636D"/>
    <w:multiLevelType w:val="hybridMultilevel"/>
    <w:tmpl w:val="67D84A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73639B"/>
    <w:multiLevelType w:val="hybridMultilevel"/>
    <w:tmpl w:val="7214E100"/>
    <w:lvl w:ilvl="0" w:tplc="9CFE2D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4420A7"/>
    <w:multiLevelType w:val="hybridMultilevel"/>
    <w:tmpl w:val="6FD6D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12"/>
  </w:num>
  <w:num w:numId="5">
    <w:abstractNumId w:val="7"/>
  </w:num>
  <w:num w:numId="6">
    <w:abstractNumId w:val="9"/>
  </w:num>
  <w:num w:numId="7">
    <w:abstractNumId w:val="5"/>
  </w:num>
  <w:num w:numId="8">
    <w:abstractNumId w:val="10"/>
  </w:num>
  <w:num w:numId="9">
    <w:abstractNumId w:val="3"/>
  </w:num>
  <w:num w:numId="10">
    <w:abstractNumId w:val="15"/>
  </w:num>
  <w:num w:numId="11">
    <w:abstractNumId w:val="17"/>
  </w:num>
  <w:num w:numId="12">
    <w:abstractNumId w:val="0"/>
  </w:num>
  <w:num w:numId="13">
    <w:abstractNumId w:val="14"/>
  </w:num>
  <w:num w:numId="14">
    <w:abstractNumId w:val="8"/>
  </w:num>
  <w:num w:numId="15">
    <w:abstractNumId w:val="13"/>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E4"/>
    <w:rsid w:val="00002D2D"/>
    <w:rsid w:val="00003ED1"/>
    <w:rsid w:val="0000615F"/>
    <w:rsid w:val="000107B0"/>
    <w:rsid w:val="00017592"/>
    <w:rsid w:val="000207CF"/>
    <w:rsid w:val="00022BF5"/>
    <w:rsid w:val="00030CFF"/>
    <w:rsid w:val="0004160F"/>
    <w:rsid w:val="000441B7"/>
    <w:rsid w:val="00045374"/>
    <w:rsid w:val="00073DD5"/>
    <w:rsid w:val="00075E01"/>
    <w:rsid w:val="000762CC"/>
    <w:rsid w:val="00082FF3"/>
    <w:rsid w:val="0008339F"/>
    <w:rsid w:val="00090EBB"/>
    <w:rsid w:val="000B0FD3"/>
    <w:rsid w:val="000B2B30"/>
    <w:rsid w:val="000B506E"/>
    <w:rsid w:val="000B6319"/>
    <w:rsid w:val="000B635D"/>
    <w:rsid w:val="000B7A95"/>
    <w:rsid w:val="000C78FB"/>
    <w:rsid w:val="000D750F"/>
    <w:rsid w:val="000E1245"/>
    <w:rsid w:val="000F049A"/>
    <w:rsid w:val="000F397C"/>
    <w:rsid w:val="000F4447"/>
    <w:rsid w:val="000F5FC1"/>
    <w:rsid w:val="00102728"/>
    <w:rsid w:val="0010607A"/>
    <w:rsid w:val="00106CDB"/>
    <w:rsid w:val="00116375"/>
    <w:rsid w:val="00117FB5"/>
    <w:rsid w:val="00120DAF"/>
    <w:rsid w:val="00124088"/>
    <w:rsid w:val="00125854"/>
    <w:rsid w:val="00127188"/>
    <w:rsid w:val="00136966"/>
    <w:rsid w:val="00144514"/>
    <w:rsid w:val="001513E8"/>
    <w:rsid w:val="00153119"/>
    <w:rsid w:val="00156F7E"/>
    <w:rsid w:val="0015725F"/>
    <w:rsid w:val="0016247E"/>
    <w:rsid w:val="0016429F"/>
    <w:rsid w:val="00167892"/>
    <w:rsid w:val="00167A5C"/>
    <w:rsid w:val="0017263D"/>
    <w:rsid w:val="0017343B"/>
    <w:rsid w:val="00177E62"/>
    <w:rsid w:val="00182C88"/>
    <w:rsid w:val="00185E6B"/>
    <w:rsid w:val="00190A96"/>
    <w:rsid w:val="001A2608"/>
    <w:rsid w:val="001A7E05"/>
    <w:rsid w:val="001C424A"/>
    <w:rsid w:val="001C5772"/>
    <w:rsid w:val="001D2869"/>
    <w:rsid w:val="001D7D49"/>
    <w:rsid w:val="001E02BD"/>
    <w:rsid w:val="001E381D"/>
    <w:rsid w:val="001E513A"/>
    <w:rsid w:val="001F102B"/>
    <w:rsid w:val="0020775E"/>
    <w:rsid w:val="00213D80"/>
    <w:rsid w:val="00215D87"/>
    <w:rsid w:val="00223126"/>
    <w:rsid w:val="00226542"/>
    <w:rsid w:val="00226EAB"/>
    <w:rsid w:val="00227F7F"/>
    <w:rsid w:val="00233DC0"/>
    <w:rsid w:val="00237F70"/>
    <w:rsid w:val="002442D9"/>
    <w:rsid w:val="00246781"/>
    <w:rsid w:val="00246B7D"/>
    <w:rsid w:val="00251CAB"/>
    <w:rsid w:val="00251E62"/>
    <w:rsid w:val="002566EA"/>
    <w:rsid w:val="00261E94"/>
    <w:rsid w:val="0026393F"/>
    <w:rsid w:val="002675F8"/>
    <w:rsid w:val="002806D1"/>
    <w:rsid w:val="00292416"/>
    <w:rsid w:val="00296A66"/>
    <w:rsid w:val="002A1130"/>
    <w:rsid w:val="002A6882"/>
    <w:rsid w:val="002B4777"/>
    <w:rsid w:val="002B4D51"/>
    <w:rsid w:val="002C15DE"/>
    <w:rsid w:val="002D3497"/>
    <w:rsid w:val="002D3D6F"/>
    <w:rsid w:val="002D57D6"/>
    <w:rsid w:val="002E151C"/>
    <w:rsid w:val="002F4731"/>
    <w:rsid w:val="00307F47"/>
    <w:rsid w:val="00313624"/>
    <w:rsid w:val="00314EDF"/>
    <w:rsid w:val="00317FC4"/>
    <w:rsid w:val="00321860"/>
    <w:rsid w:val="0032300C"/>
    <w:rsid w:val="00323950"/>
    <w:rsid w:val="00351A3F"/>
    <w:rsid w:val="003669EF"/>
    <w:rsid w:val="00374973"/>
    <w:rsid w:val="0037542C"/>
    <w:rsid w:val="003827B7"/>
    <w:rsid w:val="00397624"/>
    <w:rsid w:val="003A1B5C"/>
    <w:rsid w:val="003A3BF5"/>
    <w:rsid w:val="003A4009"/>
    <w:rsid w:val="003A460E"/>
    <w:rsid w:val="003A4892"/>
    <w:rsid w:val="003A4F55"/>
    <w:rsid w:val="003B49A5"/>
    <w:rsid w:val="003C17F3"/>
    <w:rsid w:val="003D3852"/>
    <w:rsid w:val="003E4A71"/>
    <w:rsid w:val="003E6F14"/>
    <w:rsid w:val="003F2726"/>
    <w:rsid w:val="003F2E2B"/>
    <w:rsid w:val="003F7B2B"/>
    <w:rsid w:val="00400912"/>
    <w:rsid w:val="0040750C"/>
    <w:rsid w:val="004109E2"/>
    <w:rsid w:val="00413945"/>
    <w:rsid w:val="0041506B"/>
    <w:rsid w:val="00424D45"/>
    <w:rsid w:val="004254B1"/>
    <w:rsid w:val="0043440F"/>
    <w:rsid w:val="00434614"/>
    <w:rsid w:val="00452841"/>
    <w:rsid w:val="00452C3C"/>
    <w:rsid w:val="00463EDF"/>
    <w:rsid w:val="0047276A"/>
    <w:rsid w:val="00473025"/>
    <w:rsid w:val="00474F7E"/>
    <w:rsid w:val="0047564A"/>
    <w:rsid w:val="004974F3"/>
    <w:rsid w:val="004A0DFF"/>
    <w:rsid w:val="004A1DE7"/>
    <w:rsid w:val="004A492F"/>
    <w:rsid w:val="004A622F"/>
    <w:rsid w:val="004B01F3"/>
    <w:rsid w:val="004B106B"/>
    <w:rsid w:val="004B7B9E"/>
    <w:rsid w:val="004C4E11"/>
    <w:rsid w:val="004D40F9"/>
    <w:rsid w:val="004E3A40"/>
    <w:rsid w:val="004E409A"/>
    <w:rsid w:val="004F5095"/>
    <w:rsid w:val="004F5C01"/>
    <w:rsid w:val="00501D17"/>
    <w:rsid w:val="0050537E"/>
    <w:rsid w:val="00517472"/>
    <w:rsid w:val="00520794"/>
    <w:rsid w:val="00521880"/>
    <w:rsid w:val="00523FD2"/>
    <w:rsid w:val="00527C41"/>
    <w:rsid w:val="00531B89"/>
    <w:rsid w:val="00541533"/>
    <w:rsid w:val="00550E7D"/>
    <w:rsid w:val="005661C5"/>
    <w:rsid w:val="00566363"/>
    <w:rsid w:val="00585B24"/>
    <w:rsid w:val="00593216"/>
    <w:rsid w:val="005A719B"/>
    <w:rsid w:val="005B16C9"/>
    <w:rsid w:val="005B7898"/>
    <w:rsid w:val="005C2C11"/>
    <w:rsid w:val="005C343E"/>
    <w:rsid w:val="005D2D5F"/>
    <w:rsid w:val="005D45DE"/>
    <w:rsid w:val="005D54B5"/>
    <w:rsid w:val="005D54E4"/>
    <w:rsid w:val="005E09AC"/>
    <w:rsid w:val="005F651A"/>
    <w:rsid w:val="00600041"/>
    <w:rsid w:val="00601FAF"/>
    <w:rsid w:val="0060401D"/>
    <w:rsid w:val="00604541"/>
    <w:rsid w:val="006048CE"/>
    <w:rsid w:val="006210AA"/>
    <w:rsid w:val="00622154"/>
    <w:rsid w:val="00623FF9"/>
    <w:rsid w:val="00624867"/>
    <w:rsid w:val="0065072E"/>
    <w:rsid w:val="006524C5"/>
    <w:rsid w:val="00660277"/>
    <w:rsid w:val="006609BB"/>
    <w:rsid w:val="006621BE"/>
    <w:rsid w:val="0066358B"/>
    <w:rsid w:val="00686069"/>
    <w:rsid w:val="00692D79"/>
    <w:rsid w:val="006964A7"/>
    <w:rsid w:val="00696CFD"/>
    <w:rsid w:val="006A21A4"/>
    <w:rsid w:val="006A2A4B"/>
    <w:rsid w:val="006A2E2A"/>
    <w:rsid w:val="006B514F"/>
    <w:rsid w:val="006C0465"/>
    <w:rsid w:val="006C197C"/>
    <w:rsid w:val="006C7806"/>
    <w:rsid w:val="006D1509"/>
    <w:rsid w:val="006D3DF1"/>
    <w:rsid w:val="006D47DE"/>
    <w:rsid w:val="006D54DB"/>
    <w:rsid w:val="006D7A45"/>
    <w:rsid w:val="006E751A"/>
    <w:rsid w:val="006F5F7C"/>
    <w:rsid w:val="006F7605"/>
    <w:rsid w:val="007013E2"/>
    <w:rsid w:val="007024FB"/>
    <w:rsid w:val="00713670"/>
    <w:rsid w:val="00714C53"/>
    <w:rsid w:val="00726F71"/>
    <w:rsid w:val="00737085"/>
    <w:rsid w:val="00742661"/>
    <w:rsid w:val="00750D4C"/>
    <w:rsid w:val="00757D0F"/>
    <w:rsid w:val="0076482D"/>
    <w:rsid w:val="00765E9A"/>
    <w:rsid w:val="00771FE0"/>
    <w:rsid w:val="00775155"/>
    <w:rsid w:val="00776A73"/>
    <w:rsid w:val="00780621"/>
    <w:rsid w:val="00781BC9"/>
    <w:rsid w:val="00784B26"/>
    <w:rsid w:val="007A3B73"/>
    <w:rsid w:val="007B06D3"/>
    <w:rsid w:val="007B5A1A"/>
    <w:rsid w:val="007C1994"/>
    <w:rsid w:val="007C4D4F"/>
    <w:rsid w:val="007C4DE3"/>
    <w:rsid w:val="007C53FD"/>
    <w:rsid w:val="007C6A0D"/>
    <w:rsid w:val="007D62C8"/>
    <w:rsid w:val="007D7BFE"/>
    <w:rsid w:val="007E119A"/>
    <w:rsid w:val="007F0A50"/>
    <w:rsid w:val="007F1268"/>
    <w:rsid w:val="0080687B"/>
    <w:rsid w:val="0081368B"/>
    <w:rsid w:val="00822B6C"/>
    <w:rsid w:val="00823987"/>
    <w:rsid w:val="008279F4"/>
    <w:rsid w:val="00831B63"/>
    <w:rsid w:val="00832A97"/>
    <w:rsid w:val="00836567"/>
    <w:rsid w:val="00837992"/>
    <w:rsid w:val="008411DB"/>
    <w:rsid w:val="00856232"/>
    <w:rsid w:val="00862ABD"/>
    <w:rsid w:val="008708EF"/>
    <w:rsid w:val="00875187"/>
    <w:rsid w:val="008774A2"/>
    <w:rsid w:val="0088325C"/>
    <w:rsid w:val="008842E8"/>
    <w:rsid w:val="00892266"/>
    <w:rsid w:val="0089249D"/>
    <w:rsid w:val="008932FF"/>
    <w:rsid w:val="008B0213"/>
    <w:rsid w:val="008B7754"/>
    <w:rsid w:val="008C2B3E"/>
    <w:rsid w:val="008C3878"/>
    <w:rsid w:val="008C6907"/>
    <w:rsid w:val="008D5D59"/>
    <w:rsid w:val="008E028A"/>
    <w:rsid w:val="008E16E3"/>
    <w:rsid w:val="008E24CC"/>
    <w:rsid w:val="008E5DEA"/>
    <w:rsid w:val="008F3C5D"/>
    <w:rsid w:val="008F7492"/>
    <w:rsid w:val="008F7D85"/>
    <w:rsid w:val="008F7F55"/>
    <w:rsid w:val="0090141B"/>
    <w:rsid w:val="0090372C"/>
    <w:rsid w:val="00910F8B"/>
    <w:rsid w:val="00921854"/>
    <w:rsid w:val="00921C0E"/>
    <w:rsid w:val="009257B1"/>
    <w:rsid w:val="0093307D"/>
    <w:rsid w:val="00936D1D"/>
    <w:rsid w:val="009429AC"/>
    <w:rsid w:val="0094724B"/>
    <w:rsid w:val="00947778"/>
    <w:rsid w:val="00951AEF"/>
    <w:rsid w:val="00955B58"/>
    <w:rsid w:val="00955BFB"/>
    <w:rsid w:val="00957EF5"/>
    <w:rsid w:val="0098553B"/>
    <w:rsid w:val="00986534"/>
    <w:rsid w:val="00994DA0"/>
    <w:rsid w:val="00997AE0"/>
    <w:rsid w:val="009A27E8"/>
    <w:rsid w:val="009A69AA"/>
    <w:rsid w:val="009C0A3E"/>
    <w:rsid w:val="009C54C6"/>
    <w:rsid w:val="009C78B5"/>
    <w:rsid w:val="009D0866"/>
    <w:rsid w:val="009F1147"/>
    <w:rsid w:val="00A01DBE"/>
    <w:rsid w:val="00A156BE"/>
    <w:rsid w:val="00A20DB2"/>
    <w:rsid w:val="00A221FC"/>
    <w:rsid w:val="00A24670"/>
    <w:rsid w:val="00A25C5C"/>
    <w:rsid w:val="00A30F5E"/>
    <w:rsid w:val="00A33D0D"/>
    <w:rsid w:val="00A46549"/>
    <w:rsid w:val="00A64103"/>
    <w:rsid w:val="00A6519D"/>
    <w:rsid w:val="00A71877"/>
    <w:rsid w:val="00A767B6"/>
    <w:rsid w:val="00A81C87"/>
    <w:rsid w:val="00A8642A"/>
    <w:rsid w:val="00A94C13"/>
    <w:rsid w:val="00A97E81"/>
    <w:rsid w:val="00AA4A9A"/>
    <w:rsid w:val="00AB3BDC"/>
    <w:rsid w:val="00AB585A"/>
    <w:rsid w:val="00AC31B0"/>
    <w:rsid w:val="00AC40A8"/>
    <w:rsid w:val="00AC55E0"/>
    <w:rsid w:val="00AC7688"/>
    <w:rsid w:val="00AD4FE0"/>
    <w:rsid w:val="00AE373D"/>
    <w:rsid w:val="00AE5B35"/>
    <w:rsid w:val="00AF0098"/>
    <w:rsid w:val="00B05E84"/>
    <w:rsid w:val="00B113ED"/>
    <w:rsid w:val="00B124EA"/>
    <w:rsid w:val="00B16C7A"/>
    <w:rsid w:val="00B201E0"/>
    <w:rsid w:val="00B25D00"/>
    <w:rsid w:val="00B32C93"/>
    <w:rsid w:val="00B36AF7"/>
    <w:rsid w:val="00B4064E"/>
    <w:rsid w:val="00B4321C"/>
    <w:rsid w:val="00B432EA"/>
    <w:rsid w:val="00B46FBA"/>
    <w:rsid w:val="00B47557"/>
    <w:rsid w:val="00B5034C"/>
    <w:rsid w:val="00B54530"/>
    <w:rsid w:val="00B558AA"/>
    <w:rsid w:val="00B57AD8"/>
    <w:rsid w:val="00B61764"/>
    <w:rsid w:val="00B74F06"/>
    <w:rsid w:val="00B7529A"/>
    <w:rsid w:val="00B7585C"/>
    <w:rsid w:val="00B80C05"/>
    <w:rsid w:val="00B84389"/>
    <w:rsid w:val="00B92BE6"/>
    <w:rsid w:val="00B934C7"/>
    <w:rsid w:val="00B95668"/>
    <w:rsid w:val="00BA0C32"/>
    <w:rsid w:val="00BB1F7B"/>
    <w:rsid w:val="00BB3F07"/>
    <w:rsid w:val="00BB52CE"/>
    <w:rsid w:val="00BB5508"/>
    <w:rsid w:val="00BD24FF"/>
    <w:rsid w:val="00BE0DA0"/>
    <w:rsid w:val="00BE6966"/>
    <w:rsid w:val="00BE6AB4"/>
    <w:rsid w:val="00BE6DC5"/>
    <w:rsid w:val="00BF2276"/>
    <w:rsid w:val="00BF2D30"/>
    <w:rsid w:val="00C10FA3"/>
    <w:rsid w:val="00C14350"/>
    <w:rsid w:val="00C264C4"/>
    <w:rsid w:val="00C446D4"/>
    <w:rsid w:val="00C4572E"/>
    <w:rsid w:val="00C61251"/>
    <w:rsid w:val="00C717C8"/>
    <w:rsid w:val="00C73963"/>
    <w:rsid w:val="00C81133"/>
    <w:rsid w:val="00C84F17"/>
    <w:rsid w:val="00C937B2"/>
    <w:rsid w:val="00C93F91"/>
    <w:rsid w:val="00CB0A8E"/>
    <w:rsid w:val="00CB2574"/>
    <w:rsid w:val="00CB2AF7"/>
    <w:rsid w:val="00CB2D1E"/>
    <w:rsid w:val="00CB467D"/>
    <w:rsid w:val="00CB6A4E"/>
    <w:rsid w:val="00CD1262"/>
    <w:rsid w:val="00CD21FD"/>
    <w:rsid w:val="00CD7C34"/>
    <w:rsid w:val="00CE0965"/>
    <w:rsid w:val="00CE4BB7"/>
    <w:rsid w:val="00CF029D"/>
    <w:rsid w:val="00CF12A6"/>
    <w:rsid w:val="00CF4AB3"/>
    <w:rsid w:val="00CF5625"/>
    <w:rsid w:val="00D03171"/>
    <w:rsid w:val="00D10CDA"/>
    <w:rsid w:val="00D13A31"/>
    <w:rsid w:val="00D1514E"/>
    <w:rsid w:val="00D15546"/>
    <w:rsid w:val="00D170B4"/>
    <w:rsid w:val="00D17272"/>
    <w:rsid w:val="00D203CA"/>
    <w:rsid w:val="00D241B1"/>
    <w:rsid w:val="00D4068B"/>
    <w:rsid w:val="00D409A5"/>
    <w:rsid w:val="00D42079"/>
    <w:rsid w:val="00D464EA"/>
    <w:rsid w:val="00D70344"/>
    <w:rsid w:val="00D749BF"/>
    <w:rsid w:val="00D767C5"/>
    <w:rsid w:val="00D8065B"/>
    <w:rsid w:val="00D83AB6"/>
    <w:rsid w:val="00D85866"/>
    <w:rsid w:val="00D8599C"/>
    <w:rsid w:val="00D87AC8"/>
    <w:rsid w:val="00D900D9"/>
    <w:rsid w:val="00D9229D"/>
    <w:rsid w:val="00DC0A16"/>
    <w:rsid w:val="00DC2EDE"/>
    <w:rsid w:val="00DC5423"/>
    <w:rsid w:val="00DD0464"/>
    <w:rsid w:val="00DD3C53"/>
    <w:rsid w:val="00DD4AA9"/>
    <w:rsid w:val="00DD7878"/>
    <w:rsid w:val="00DE1124"/>
    <w:rsid w:val="00DE64DD"/>
    <w:rsid w:val="00DF2A2F"/>
    <w:rsid w:val="00E03DBD"/>
    <w:rsid w:val="00E208FE"/>
    <w:rsid w:val="00E34DD0"/>
    <w:rsid w:val="00E3565C"/>
    <w:rsid w:val="00E41C9D"/>
    <w:rsid w:val="00E45D7B"/>
    <w:rsid w:val="00E471A3"/>
    <w:rsid w:val="00E5142E"/>
    <w:rsid w:val="00E579B2"/>
    <w:rsid w:val="00E60241"/>
    <w:rsid w:val="00E649A9"/>
    <w:rsid w:val="00E80312"/>
    <w:rsid w:val="00E91137"/>
    <w:rsid w:val="00E91BB8"/>
    <w:rsid w:val="00EA2BA1"/>
    <w:rsid w:val="00EA58FA"/>
    <w:rsid w:val="00EA6E4E"/>
    <w:rsid w:val="00EA6EE4"/>
    <w:rsid w:val="00EB2BEC"/>
    <w:rsid w:val="00EB443E"/>
    <w:rsid w:val="00EB5BAC"/>
    <w:rsid w:val="00EC2640"/>
    <w:rsid w:val="00EC2D0B"/>
    <w:rsid w:val="00EC4962"/>
    <w:rsid w:val="00ED155F"/>
    <w:rsid w:val="00ED39C0"/>
    <w:rsid w:val="00EE4C82"/>
    <w:rsid w:val="00EE6C4A"/>
    <w:rsid w:val="00EF0149"/>
    <w:rsid w:val="00EF497F"/>
    <w:rsid w:val="00F0672F"/>
    <w:rsid w:val="00F13007"/>
    <w:rsid w:val="00F163C6"/>
    <w:rsid w:val="00F171D0"/>
    <w:rsid w:val="00F2089A"/>
    <w:rsid w:val="00F27DE6"/>
    <w:rsid w:val="00F35BF7"/>
    <w:rsid w:val="00F36383"/>
    <w:rsid w:val="00F436C2"/>
    <w:rsid w:val="00F44A32"/>
    <w:rsid w:val="00F5086D"/>
    <w:rsid w:val="00F53A28"/>
    <w:rsid w:val="00F53F4A"/>
    <w:rsid w:val="00F5727D"/>
    <w:rsid w:val="00F617D2"/>
    <w:rsid w:val="00F62570"/>
    <w:rsid w:val="00F740B6"/>
    <w:rsid w:val="00F77F1E"/>
    <w:rsid w:val="00F82B1B"/>
    <w:rsid w:val="00F97A64"/>
    <w:rsid w:val="00F97AD7"/>
    <w:rsid w:val="00FA5CDF"/>
    <w:rsid w:val="00FA6FF1"/>
    <w:rsid w:val="00FB0A93"/>
    <w:rsid w:val="00FC173E"/>
    <w:rsid w:val="00FD27BB"/>
    <w:rsid w:val="00FD4538"/>
    <w:rsid w:val="00FE1748"/>
    <w:rsid w:val="00FE1779"/>
    <w:rsid w:val="00FE27FC"/>
    <w:rsid w:val="00FE5309"/>
    <w:rsid w:val="00FE7E3C"/>
    <w:rsid w:val="00FF50C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D3"/>
  <w15:docId w15:val="{18847859-499B-4FE1-A06A-C6A34D6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E4"/>
    <w:pPr>
      <w:ind w:left="720"/>
      <w:contextualSpacing/>
    </w:pPr>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table" w:styleId="TableGrid">
    <w:name w:val="Table Grid"/>
    <w:basedOn w:val="TableNormal"/>
    <w:uiPriority w:val="59"/>
    <w:rsid w:val="0095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2EDE"/>
    <w:pPr>
      <w:spacing w:after="0" w:line="240" w:lineRule="auto"/>
    </w:pPr>
    <w:rPr>
      <w:rFonts w:eastAsiaTheme="minorHAnsi"/>
    </w:rPr>
  </w:style>
  <w:style w:type="character" w:customStyle="1" w:styleId="Heading3Char">
    <w:name w:val="Heading 3 Char"/>
    <w:basedOn w:val="DefaultParagraphFont"/>
    <w:link w:val="Heading3"/>
    <w:uiPriority w:val="9"/>
    <w:rsid w:val="00AA4A9A"/>
    <w:rPr>
      <w:rFonts w:asciiTheme="majorHAnsi" w:eastAsiaTheme="majorEastAsia" w:hAnsiTheme="majorHAnsi" w:cstheme="majorBidi"/>
      <w:b/>
      <w:bCs/>
      <w:color w:val="4F81BD" w:themeColor="accent1"/>
    </w:rPr>
  </w:style>
  <w:style w:type="character" w:styleId="SubtleReference">
    <w:name w:val="Subtle Reference"/>
    <w:basedOn w:val="DefaultParagraphFont"/>
    <w:uiPriority w:val="31"/>
    <w:qFormat/>
    <w:rsid w:val="00A20DB2"/>
    <w:rPr>
      <w:smallCaps/>
      <w:color w:val="C0504D" w:themeColor="accent2"/>
      <w:u w:val="single"/>
    </w:rPr>
  </w:style>
  <w:style w:type="paragraph" w:styleId="PlainText">
    <w:name w:val="Plain Text"/>
    <w:basedOn w:val="Normal"/>
    <w:link w:val="PlainTextChar"/>
    <w:uiPriority w:val="99"/>
    <w:unhideWhenUsed/>
    <w:rsid w:val="008C3878"/>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C3878"/>
    <w:rPr>
      <w:rFonts w:ascii="Consolas" w:eastAsia="Calibri" w:hAnsi="Consolas" w:cs="Times New Roman"/>
      <w:sz w:val="21"/>
      <w:szCs w:val="21"/>
      <w:lang w:val="x-none" w:eastAsia="x-none"/>
    </w:rPr>
  </w:style>
  <w:style w:type="character" w:styleId="Emphasis">
    <w:name w:val="Emphasis"/>
    <w:basedOn w:val="DefaultParagraphFont"/>
    <w:uiPriority w:val="20"/>
    <w:qFormat/>
    <w:rsid w:val="003E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057">
      <w:bodyDiv w:val="1"/>
      <w:marLeft w:val="0"/>
      <w:marRight w:val="0"/>
      <w:marTop w:val="0"/>
      <w:marBottom w:val="0"/>
      <w:divBdr>
        <w:top w:val="none" w:sz="0" w:space="0" w:color="auto"/>
        <w:left w:val="none" w:sz="0" w:space="0" w:color="auto"/>
        <w:bottom w:val="none" w:sz="0" w:space="0" w:color="auto"/>
        <w:right w:val="none" w:sz="0" w:space="0" w:color="auto"/>
      </w:divBdr>
    </w:div>
    <w:div w:id="114834715">
      <w:bodyDiv w:val="1"/>
      <w:marLeft w:val="0"/>
      <w:marRight w:val="0"/>
      <w:marTop w:val="0"/>
      <w:marBottom w:val="0"/>
      <w:divBdr>
        <w:top w:val="none" w:sz="0" w:space="0" w:color="auto"/>
        <w:left w:val="none" w:sz="0" w:space="0" w:color="auto"/>
        <w:bottom w:val="none" w:sz="0" w:space="0" w:color="auto"/>
        <w:right w:val="none" w:sz="0" w:space="0" w:color="auto"/>
      </w:divBdr>
    </w:div>
    <w:div w:id="135924432">
      <w:bodyDiv w:val="1"/>
      <w:marLeft w:val="0"/>
      <w:marRight w:val="0"/>
      <w:marTop w:val="0"/>
      <w:marBottom w:val="0"/>
      <w:divBdr>
        <w:top w:val="none" w:sz="0" w:space="0" w:color="auto"/>
        <w:left w:val="none" w:sz="0" w:space="0" w:color="auto"/>
        <w:bottom w:val="none" w:sz="0" w:space="0" w:color="auto"/>
        <w:right w:val="none" w:sz="0" w:space="0" w:color="auto"/>
      </w:divBdr>
    </w:div>
    <w:div w:id="264659487">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39049224">
      <w:bodyDiv w:val="1"/>
      <w:marLeft w:val="0"/>
      <w:marRight w:val="0"/>
      <w:marTop w:val="0"/>
      <w:marBottom w:val="0"/>
      <w:divBdr>
        <w:top w:val="none" w:sz="0" w:space="0" w:color="auto"/>
        <w:left w:val="none" w:sz="0" w:space="0" w:color="auto"/>
        <w:bottom w:val="none" w:sz="0" w:space="0" w:color="auto"/>
        <w:right w:val="none" w:sz="0" w:space="0" w:color="auto"/>
      </w:divBdr>
    </w:div>
    <w:div w:id="360594425">
      <w:bodyDiv w:val="1"/>
      <w:marLeft w:val="0"/>
      <w:marRight w:val="0"/>
      <w:marTop w:val="0"/>
      <w:marBottom w:val="0"/>
      <w:divBdr>
        <w:top w:val="none" w:sz="0" w:space="0" w:color="auto"/>
        <w:left w:val="none" w:sz="0" w:space="0" w:color="auto"/>
        <w:bottom w:val="none" w:sz="0" w:space="0" w:color="auto"/>
        <w:right w:val="none" w:sz="0" w:space="0" w:color="auto"/>
      </w:divBdr>
    </w:div>
    <w:div w:id="371417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0342">
          <w:marLeft w:val="0"/>
          <w:marRight w:val="0"/>
          <w:marTop w:val="0"/>
          <w:marBottom w:val="0"/>
          <w:divBdr>
            <w:top w:val="none" w:sz="0" w:space="0" w:color="auto"/>
            <w:left w:val="none" w:sz="0" w:space="0" w:color="auto"/>
            <w:bottom w:val="none" w:sz="0" w:space="0" w:color="auto"/>
            <w:right w:val="none" w:sz="0" w:space="0" w:color="auto"/>
          </w:divBdr>
          <w:divsChild>
            <w:div w:id="149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887">
      <w:bodyDiv w:val="1"/>
      <w:marLeft w:val="0"/>
      <w:marRight w:val="0"/>
      <w:marTop w:val="0"/>
      <w:marBottom w:val="0"/>
      <w:divBdr>
        <w:top w:val="none" w:sz="0" w:space="0" w:color="auto"/>
        <w:left w:val="none" w:sz="0" w:space="0" w:color="auto"/>
        <w:bottom w:val="none" w:sz="0" w:space="0" w:color="auto"/>
        <w:right w:val="none" w:sz="0" w:space="0" w:color="auto"/>
      </w:divBdr>
    </w:div>
    <w:div w:id="681399364">
      <w:bodyDiv w:val="1"/>
      <w:marLeft w:val="0"/>
      <w:marRight w:val="0"/>
      <w:marTop w:val="0"/>
      <w:marBottom w:val="0"/>
      <w:divBdr>
        <w:top w:val="none" w:sz="0" w:space="0" w:color="auto"/>
        <w:left w:val="none" w:sz="0" w:space="0" w:color="auto"/>
        <w:bottom w:val="none" w:sz="0" w:space="0" w:color="auto"/>
        <w:right w:val="none" w:sz="0" w:space="0" w:color="auto"/>
      </w:divBdr>
    </w:div>
    <w:div w:id="807674779">
      <w:bodyDiv w:val="1"/>
      <w:marLeft w:val="0"/>
      <w:marRight w:val="0"/>
      <w:marTop w:val="0"/>
      <w:marBottom w:val="0"/>
      <w:divBdr>
        <w:top w:val="none" w:sz="0" w:space="0" w:color="auto"/>
        <w:left w:val="none" w:sz="0" w:space="0" w:color="auto"/>
        <w:bottom w:val="none" w:sz="0" w:space="0" w:color="auto"/>
        <w:right w:val="none" w:sz="0" w:space="0" w:color="auto"/>
      </w:divBdr>
    </w:div>
    <w:div w:id="845629598">
      <w:bodyDiv w:val="1"/>
      <w:marLeft w:val="0"/>
      <w:marRight w:val="0"/>
      <w:marTop w:val="0"/>
      <w:marBottom w:val="0"/>
      <w:divBdr>
        <w:top w:val="none" w:sz="0" w:space="0" w:color="auto"/>
        <w:left w:val="none" w:sz="0" w:space="0" w:color="auto"/>
        <w:bottom w:val="none" w:sz="0" w:space="0" w:color="auto"/>
        <w:right w:val="none" w:sz="0" w:space="0" w:color="auto"/>
      </w:divBdr>
    </w:div>
    <w:div w:id="862325461">
      <w:bodyDiv w:val="1"/>
      <w:marLeft w:val="0"/>
      <w:marRight w:val="0"/>
      <w:marTop w:val="0"/>
      <w:marBottom w:val="0"/>
      <w:divBdr>
        <w:top w:val="none" w:sz="0" w:space="0" w:color="auto"/>
        <w:left w:val="none" w:sz="0" w:space="0" w:color="auto"/>
        <w:bottom w:val="none" w:sz="0" w:space="0" w:color="auto"/>
        <w:right w:val="none" w:sz="0" w:space="0" w:color="auto"/>
      </w:divBdr>
    </w:div>
    <w:div w:id="951128762">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5">
          <w:marLeft w:val="0"/>
          <w:marRight w:val="0"/>
          <w:marTop w:val="0"/>
          <w:marBottom w:val="0"/>
          <w:divBdr>
            <w:top w:val="none" w:sz="0" w:space="0" w:color="auto"/>
            <w:left w:val="none" w:sz="0" w:space="0" w:color="auto"/>
            <w:bottom w:val="none" w:sz="0" w:space="0" w:color="auto"/>
            <w:right w:val="none" w:sz="0" w:space="0" w:color="auto"/>
          </w:divBdr>
          <w:divsChild>
            <w:div w:id="1829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84">
      <w:bodyDiv w:val="1"/>
      <w:marLeft w:val="0"/>
      <w:marRight w:val="0"/>
      <w:marTop w:val="0"/>
      <w:marBottom w:val="0"/>
      <w:divBdr>
        <w:top w:val="none" w:sz="0" w:space="0" w:color="auto"/>
        <w:left w:val="none" w:sz="0" w:space="0" w:color="auto"/>
        <w:bottom w:val="none" w:sz="0" w:space="0" w:color="auto"/>
        <w:right w:val="none" w:sz="0" w:space="0" w:color="auto"/>
      </w:divBdr>
    </w:div>
    <w:div w:id="1162309963">
      <w:bodyDiv w:val="1"/>
      <w:marLeft w:val="0"/>
      <w:marRight w:val="0"/>
      <w:marTop w:val="0"/>
      <w:marBottom w:val="0"/>
      <w:divBdr>
        <w:top w:val="none" w:sz="0" w:space="0" w:color="auto"/>
        <w:left w:val="none" w:sz="0" w:space="0" w:color="auto"/>
        <w:bottom w:val="none" w:sz="0" w:space="0" w:color="auto"/>
        <w:right w:val="none" w:sz="0" w:space="0" w:color="auto"/>
      </w:divBdr>
      <w:divsChild>
        <w:div w:id="1508405454">
          <w:marLeft w:val="0"/>
          <w:marRight w:val="0"/>
          <w:marTop w:val="0"/>
          <w:marBottom w:val="0"/>
          <w:divBdr>
            <w:top w:val="none" w:sz="0" w:space="0" w:color="auto"/>
            <w:left w:val="none" w:sz="0" w:space="0" w:color="auto"/>
            <w:bottom w:val="none" w:sz="0" w:space="0" w:color="auto"/>
            <w:right w:val="none" w:sz="0" w:space="0" w:color="auto"/>
          </w:divBdr>
          <w:divsChild>
            <w:div w:id="2093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3172">
      <w:bodyDiv w:val="1"/>
      <w:marLeft w:val="0"/>
      <w:marRight w:val="0"/>
      <w:marTop w:val="0"/>
      <w:marBottom w:val="0"/>
      <w:divBdr>
        <w:top w:val="none" w:sz="0" w:space="0" w:color="auto"/>
        <w:left w:val="none" w:sz="0" w:space="0" w:color="auto"/>
        <w:bottom w:val="none" w:sz="0" w:space="0" w:color="auto"/>
        <w:right w:val="none" w:sz="0" w:space="0" w:color="auto"/>
      </w:divBdr>
    </w:div>
    <w:div w:id="1247498240">
      <w:bodyDiv w:val="1"/>
      <w:marLeft w:val="0"/>
      <w:marRight w:val="0"/>
      <w:marTop w:val="0"/>
      <w:marBottom w:val="0"/>
      <w:divBdr>
        <w:top w:val="none" w:sz="0" w:space="0" w:color="auto"/>
        <w:left w:val="none" w:sz="0" w:space="0" w:color="auto"/>
        <w:bottom w:val="none" w:sz="0" w:space="0" w:color="auto"/>
        <w:right w:val="none" w:sz="0" w:space="0" w:color="auto"/>
      </w:divBdr>
    </w:div>
    <w:div w:id="1402563381">
      <w:bodyDiv w:val="1"/>
      <w:marLeft w:val="0"/>
      <w:marRight w:val="0"/>
      <w:marTop w:val="0"/>
      <w:marBottom w:val="0"/>
      <w:divBdr>
        <w:top w:val="none" w:sz="0" w:space="0" w:color="auto"/>
        <w:left w:val="none" w:sz="0" w:space="0" w:color="auto"/>
        <w:bottom w:val="none" w:sz="0" w:space="0" w:color="auto"/>
        <w:right w:val="none" w:sz="0" w:space="0" w:color="auto"/>
      </w:divBdr>
    </w:div>
    <w:div w:id="1408721696">
      <w:bodyDiv w:val="1"/>
      <w:marLeft w:val="0"/>
      <w:marRight w:val="0"/>
      <w:marTop w:val="0"/>
      <w:marBottom w:val="0"/>
      <w:divBdr>
        <w:top w:val="none" w:sz="0" w:space="0" w:color="auto"/>
        <w:left w:val="none" w:sz="0" w:space="0" w:color="auto"/>
        <w:bottom w:val="none" w:sz="0" w:space="0" w:color="auto"/>
        <w:right w:val="none" w:sz="0" w:space="0" w:color="auto"/>
      </w:divBdr>
    </w:div>
    <w:div w:id="1449280672">
      <w:bodyDiv w:val="1"/>
      <w:marLeft w:val="0"/>
      <w:marRight w:val="0"/>
      <w:marTop w:val="0"/>
      <w:marBottom w:val="0"/>
      <w:divBdr>
        <w:top w:val="none" w:sz="0" w:space="0" w:color="auto"/>
        <w:left w:val="none" w:sz="0" w:space="0" w:color="auto"/>
        <w:bottom w:val="none" w:sz="0" w:space="0" w:color="auto"/>
        <w:right w:val="none" w:sz="0" w:space="0" w:color="auto"/>
      </w:divBdr>
    </w:div>
    <w:div w:id="1464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0">
          <w:marLeft w:val="0"/>
          <w:marRight w:val="0"/>
          <w:marTop w:val="0"/>
          <w:marBottom w:val="0"/>
          <w:divBdr>
            <w:top w:val="none" w:sz="0" w:space="0" w:color="auto"/>
            <w:left w:val="none" w:sz="0" w:space="0" w:color="auto"/>
            <w:bottom w:val="none" w:sz="0" w:space="0" w:color="auto"/>
            <w:right w:val="none" w:sz="0" w:space="0" w:color="auto"/>
          </w:divBdr>
          <w:divsChild>
            <w:div w:id="897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31">
      <w:bodyDiv w:val="1"/>
      <w:marLeft w:val="0"/>
      <w:marRight w:val="0"/>
      <w:marTop w:val="0"/>
      <w:marBottom w:val="0"/>
      <w:divBdr>
        <w:top w:val="none" w:sz="0" w:space="0" w:color="auto"/>
        <w:left w:val="none" w:sz="0" w:space="0" w:color="auto"/>
        <w:bottom w:val="none" w:sz="0" w:space="0" w:color="auto"/>
        <w:right w:val="none" w:sz="0" w:space="0" w:color="auto"/>
      </w:divBdr>
      <w:divsChild>
        <w:div w:id="573130546">
          <w:marLeft w:val="0"/>
          <w:marRight w:val="0"/>
          <w:marTop w:val="0"/>
          <w:marBottom w:val="0"/>
          <w:divBdr>
            <w:top w:val="none" w:sz="0" w:space="0" w:color="auto"/>
            <w:left w:val="none" w:sz="0" w:space="0" w:color="auto"/>
            <w:bottom w:val="none" w:sz="0" w:space="0" w:color="auto"/>
            <w:right w:val="none" w:sz="0" w:space="0" w:color="auto"/>
          </w:divBdr>
          <w:divsChild>
            <w:div w:id="1603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93">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201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economy.org/pages/walls.lass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economy.org/nets/NETSDatabaseDescription.pdf" TargetMode="External"/><Relationship Id="rId5" Type="http://schemas.openxmlformats.org/officeDocument/2006/relationships/webSettings" Target="webSettings.xml"/><Relationship Id="rId10" Type="http://schemas.openxmlformats.org/officeDocument/2006/relationships/hyperlink" Target="http://youreconomy.org/pages/walls.lasso" TargetMode="External"/><Relationship Id="rId4" Type="http://schemas.openxmlformats.org/officeDocument/2006/relationships/settings" Target="settings.xml"/><Relationship Id="rId9" Type="http://schemas.openxmlformats.org/officeDocument/2006/relationships/hyperlink" Target="http://youreconomy.org/pages/walls.lass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imag.com" TargetMode="External"/><Relationship Id="rId2" Type="http://schemas.openxmlformats.org/officeDocument/2006/relationships/hyperlink" Target="http://youreconomy.org/pages/walls.lasso" TargetMode="External"/><Relationship Id="rId1" Type="http://schemas.openxmlformats.org/officeDocument/2006/relationships/hyperlink" Target="http://youreconomy.org/pages/walls.la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0CCE-4E4C-4A5A-9A6F-C0D2A83A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60</Pages>
  <Words>24198</Words>
  <Characters>137932</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161807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Moore,Kari</cp:lastModifiedBy>
  <cp:revision>252</cp:revision>
  <cp:lastPrinted>2013-06-23T19:03:00Z</cp:lastPrinted>
  <dcterms:created xsi:type="dcterms:W3CDTF">2016-07-12T12:23:00Z</dcterms:created>
  <dcterms:modified xsi:type="dcterms:W3CDTF">2017-01-18T13:13:00Z</dcterms:modified>
</cp:coreProperties>
</file>