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7D" w:rsidRPr="00925405" w:rsidRDefault="00FB437D" w:rsidP="00925405">
      <w:pPr>
        <w:pStyle w:val="Heading2"/>
        <w:rPr>
          <w:color w:val="00B050"/>
          <w:sz w:val="24"/>
          <w:szCs w:val="24"/>
        </w:rPr>
      </w:pPr>
      <w:bookmarkStart w:id="0" w:name="_Toc17883264"/>
      <w:bookmarkStart w:id="1" w:name="_Toc524850769"/>
      <w:bookmarkStart w:id="2" w:name="_Toc524851053"/>
      <w:bookmarkStart w:id="3" w:name="_Toc524939310"/>
      <w:bookmarkStart w:id="4" w:name="_Toc524939382"/>
      <w:bookmarkStart w:id="5" w:name="_Toc524939479"/>
      <w:bookmarkStart w:id="6" w:name="_Toc493682474"/>
      <w:r w:rsidRPr="00F560D9">
        <w:t>D.2</w:t>
      </w:r>
      <w:r w:rsidRPr="00F560D9">
        <w:tab/>
        <w:t>Initial Notification of Potential Event/Death</w:t>
      </w:r>
      <w:bookmarkEnd w:id="0"/>
      <w:r w:rsidRPr="00F560D9">
        <w:t xml:space="preserve"> </w:t>
      </w:r>
      <w:bookmarkEnd w:id="1"/>
      <w:bookmarkEnd w:id="2"/>
      <w:bookmarkEnd w:id="3"/>
      <w:bookmarkEnd w:id="4"/>
      <w:bookmarkEnd w:id="5"/>
      <w:r w:rsidR="00925405">
        <w:t xml:space="preserve"> </w:t>
      </w:r>
    </w:p>
    <w:p w:rsidR="00FB437D" w:rsidRPr="00F560D9" w:rsidRDefault="00FB437D">
      <w:pPr>
        <w:pStyle w:val="Heading3"/>
      </w:pPr>
      <w:bookmarkStart w:id="7" w:name="_Toc524842525"/>
      <w:bookmarkStart w:id="8" w:name="_Toc524842920"/>
      <w:bookmarkStart w:id="9" w:name="_Toc524843390"/>
      <w:bookmarkStart w:id="10" w:name="_Toc524843636"/>
      <w:bookmarkStart w:id="11" w:name="_Toc524850260"/>
      <w:bookmarkStart w:id="12" w:name="_Toc524850770"/>
      <w:bookmarkStart w:id="13" w:name="_Toc524851054"/>
      <w:bookmarkStart w:id="14" w:name="_Toc524939311"/>
      <w:bookmarkStart w:id="15" w:name="_Toc524939383"/>
      <w:bookmarkStart w:id="16" w:name="_Toc524939480"/>
      <w:bookmarkStart w:id="17" w:name="_Toc524943104"/>
      <w:bookmarkStart w:id="18" w:name="_Toc525025287"/>
      <w:bookmarkStart w:id="19" w:name="_Toc526909520"/>
      <w:bookmarkStart w:id="20" w:name="_Toc526909656"/>
      <w:bookmarkStart w:id="21" w:name="_Toc528031227"/>
      <w:bookmarkStart w:id="22" w:name="_Toc17883265"/>
      <w:r w:rsidRPr="00F560D9">
        <w:t>D.2.1</w:t>
      </w:r>
      <w:r w:rsidRPr="00F560D9">
        <w:tab/>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560D9">
        <w:t>General Information</w:t>
      </w:r>
    </w:p>
    <w:p w:rsidR="00B816A4" w:rsidRDefault="00FB437D">
      <w:pPr>
        <w:pStyle w:val="BodyText"/>
        <w:rPr>
          <w:rStyle w:val="StyleBodyTextItalicChar"/>
          <w:i/>
          <w:color w:val="FF0000"/>
        </w:rPr>
      </w:pPr>
      <w:r w:rsidRPr="00F560D9">
        <w:rPr>
          <w:iCs/>
        </w:rPr>
        <w:t xml:space="preserve">The primary means of identifying cardiovascular (CVD) events in </w:t>
      </w:r>
      <w:smartTag w:uri="urn:schemas-microsoft-com:office:smarttags" w:element="place">
        <w:smartTag w:uri="urn:schemas-microsoft-com:office:smarttags" w:element="City">
          <w:r w:rsidRPr="00F560D9">
            <w:rPr>
              <w:iCs/>
            </w:rPr>
            <w:t>MESA</w:t>
          </w:r>
        </w:smartTag>
      </w:smartTag>
      <w:r w:rsidRPr="00F560D9">
        <w:rPr>
          <w:iCs/>
        </w:rPr>
        <w:t xml:space="preserve"> is through scheduled Follow-up Phone Calls and clinic visits. </w:t>
      </w:r>
      <w:smartTag w:uri="urn:schemas-microsoft-com:office:smarttags" w:element="place">
        <w:smartTag w:uri="urn:schemas-microsoft-com:office:smarttags" w:element="PlaceType">
          <w:r w:rsidRPr="00F560D9">
            <w:rPr>
              <w:iCs/>
            </w:rPr>
            <w:t>Field</w:t>
          </w:r>
        </w:smartTag>
        <w:r w:rsidRPr="00F560D9">
          <w:rPr>
            <w:iCs/>
          </w:rPr>
          <w:t xml:space="preserve"> </w:t>
        </w:r>
        <w:smartTag w:uri="urn:schemas-microsoft-com:office:smarttags" w:element="PlaceType">
          <w:r w:rsidRPr="00F560D9">
            <w:rPr>
              <w:iCs/>
            </w:rPr>
            <w:t>Center</w:t>
          </w:r>
        </w:smartTag>
      </w:smartTag>
      <w:r w:rsidRPr="00F560D9">
        <w:rPr>
          <w:iCs/>
        </w:rPr>
        <w:t xml:space="preserve"> staff asks participants a standard set of questi</w:t>
      </w:r>
      <w:r w:rsidRPr="00F560D9">
        <w:rPr>
          <w:rStyle w:val="StyleBodyTextItalicChar"/>
        </w:rPr>
        <w:t xml:space="preserve">ons and certain responses necessitate the generation and completion of an </w:t>
      </w:r>
      <w:r w:rsidRPr="00F560D9">
        <w:rPr>
          <w:rStyle w:val="StyleBodyTextItalicChar"/>
          <w:i/>
        </w:rPr>
        <w:t>Initial Notification of Potential Event/Death</w:t>
      </w:r>
      <w:r w:rsidRPr="00F560D9">
        <w:t xml:space="preserve"> </w:t>
      </w:r>
      <w:r w:rsidRPr="00F560D9">
        <w:rPr>
          <w:iCs/>
        </w:rPr>
        <w:t>form. Possible events include any hospitalization, any death, and certain cardiovascular procedure or outpat</w:t>
      </w:r>
      <w:r w:rsidRPr="00F560D9">
        <w:rPr>
          <w:rStyle w:val="StyleBodyTextItalicChar"/>
        </w:rPr>
        <w:t>ient cardiovascular physician visits</w:t>
      </w:r>
      <w:r w:rsidRPr="00C26562">
        <w:rPr>
          <w:rStyle w:val="StyleBodyTextItalicChar"/>
          <w:i/>
          <w:color w:val="FF0000"/>
        </w:rPr>
        <w:t>.</w:t>
      </w:r>
      <w:r w:rsidR="00E07D35" w:rsidRPr="00C26562">
        <w:rPr>
          <w:rStyle w:val="StyleBodyTextItalicChar"/>
          <w:i/>
          <w:color w:val="FF0000"/>
        </w:rPr>
        <w:t xml:space="preserve"> </w:t>
      </w:r>
    </w:p>
    <w:p w:rsidR="00C26562" w:rsidRDefault="00FB437D">
      <w:pPr>
        <w:pStyle w:val="BodyText"/>
        <w:rPr>
          <w:iCs/>
        </w:rPr>
      </w:pPr>
      <w:r w:rsidRPr="00F560D9">
        <w:rPr>
          <w:iCs/>
        </w:rPr>
        <w:t>Other ways in which Field Center staff might learn of a potential MESA event include (a)</w:t>
      </w:r>
      <w:r w:rsidRPr="00F560D9">
        <w:t> </w:t>
      </w:r>
      <w:r w:rsidRPr="00F560D9">
        <w:rPr>
          <w:iCs/>
        </w:rPr>
        <w:t>notification by the participant or his/her proxy</w:t>
      </w:r>
      <w:r w:rsidR="00C26562">
        <w:rPr>
          <w:iCs/>
        </w:rPr>
        <w:t>,</w:t>
      </w:r>
      <w:r w:rsidR="00BF6BCC">
        <w:rPr>
          <w:iCs/>
        </w:rPr>
        <w:t xml:space="preserve"> and</w:t>
      </w:r>
      <w:r w:rsidRPr="00F560D9">
        <w:rPr>
          <w:iCs/>
        </w:rPr>
        <w:t xml:space="preserve"> (b) through the investigation of another reported event</w:t>
      </w:r>
      <w:r w:rsidR="00C26562">
        <w:rPr>
          <w:iCs/>
        </w:rPr>
        <w:t xml:space="preserve">, </w:t>
      </w:r>
      <w:r w:rsidR="00C26562" w:rsidRPr="00BF6BCC">
        <w:rPr>
          <w:iCs/>
        </w:rPr>
        <w:t>obituaries, and from data from the National Death Index</w:t>
      </w:r>
      <w:r w:rsidRPr="00BF6BCC">
        <w:rPr>
          <w:iCs/>
        </w:rPr>
        <w:t xml:space="preserve">. </w:t>
      </w:r>
    </w:p>
    <w:p w:rsidR="00FB437D" w:rsidRPr="00F560D9" w:rsidRDefault="00FB437D">
      <w:pPr>
        <w:pStyle w:val="BodyText"/>
        <w:rPr>
          <w:iCs/>
        </w:rPr>
      </w:pPr>
      <w:r w:rsidRPr="00F560D9">
        <w:rPr>
          <w:iCs/>
        </w:rPr>
        <w:t>Steps for completing</w:t>
      </w:r>
      <w:r w:rsidRPr="00F560D9">
        <w:rPr>
          <w:rStyle w:val="StyleBodyTextItalicChar"/>
        </w:rPr>
        <w:t xml:space="preserve"> the </w:t>
      </w:r>
      <w:r w:rsidRPr="00F560D9">
        <w:rPr>
          <w:rStyle w:val="StyleBodyTextItalicChar"/>
          <w:i/>
        </w:rPr>
        <w:t>Initial Notification of Potential Event/Death</w:t>
      </w:r>
      <w:r w:rsidRPr="00F560D9">
        <w:rPr>
          <w:iCs/>
        </w:rPr>
        <w:t xml:space="preserve"> form are essentially the same regardless of how the Field Center first </w:t>
      </w:r>
      <w:r w:rsidR="00C26562" w:rsidRPr="00BF6BCC">
        <w:rPr>
          <w:iCs/>
        </w:rPr>
        <w:t>becomes</w:t>
      </w:r>
      <w:r w:rsidRPr="00F560D9">
        <w:rPr>
          <w:iCs/>
        </w:rPr>
        <w:t xml:space="preserve"> aware of the event. The main difference is, when staff learns of the event through a standard MESA </w:t>
      </w:r>
      <w:r w:rsidR="00FB3BEE" w:rsidRPr="00F560D9">
        <w:rPr>
          <w:iCs/>
        </w:rPr>
        <w:t xml:space="preserve">Follow-up Call </w:t>
      </w:r>
      <w:r w:rsidRPr="00F560D9">
        <w:rPr>
          <w:iCs/>
        </w:rPr>
        <w:t>interview, information on the</w:t>
      </w:r>
      <w:r w:rsidRPr="00F560D9">
        <w:rPr>
          <w:rStyle w:val="StyleBodyTextItalicChar"/>
        </w:rPr>
        <w:t xml:space="preserve"> </w:t>
      </w:r>
      <w:r w:rsidRPr="00F560D9">
        <w:rPr>
          <w:rStyle w:val="StyleBodyTextItalicChar"/>
          <w:i/>
        </w:rPr>
        <w:t>Initial Notification of Potential Event/Death</w:t>
      </w:r>
      <w:r w:rsidRPr="00F560D9">
        <w:rPr>
          <w:iCs/>
        </w:rPr>
        <w:t xml:space="preserve"> form is abstracted from the </w:t>
      </w:r>
      <w:r w:rsidR="00FB3BEE" w:rsidRPr="00F560D9">
        <w:rPr>
          <w:iCs/>
        </w:rPr>
        <w:t>Follow-up Call</w:t>
      </w:r>
      <w:r w:rsidRPr="00F560D9">
        <w:rPr>
          <w:iCs/>
        </w:rPr>
        <w:t xml:space="preserve"> form(s) used</w:t>
      </w:r>
      <w:r w:rsidR="00FB3BEE" w:rsidRPr="00F560D9">
        <w:rPr>
          <w:iCs/>
        </w:rPr>
        <w:t xml:space="preserve"> (</w:t>
      </w:r>
      <w:r w:rsidR="00FB3BEE" w:rsidRPr="00F560D9">
        <w:rPr>
          <w:i/>
        </w:rPr>
        <w:t>General Health</w:t>
      </w:r>
      <w:r w:rsidR="00FB3BEE" w:rsidRPr="00F560D9">
        <w:rPr>
          <w:iCs/>
        </w:rPr>
        <w:t xml:space="preserve">, </w:t>
      </w:r>
      <w:r w:rsidR="00FB3BEE" w:rsidRPr="00F560D9">
        <w:rPr>
          <w:i/>
        </w:rPr>
        <w:t>Specific Medical Conditions</w:t>
      </w:r>
      <w:r w:rsidR="00FB3BEE" w:rsidRPr="00F560D9">
        <w:rPr>
          <w:iCs/>
        </w:rPr>
        <w:t xml:space="preserve">, </w:t>
      </w:r>
      <w:r w:rsidR="00FB3BEE" w:rsidRPr="00F560D9">
        <w:rPr>
          <w:i/>
        </w:rPr>
        <w:t>Other Admissions</w:t>
      </w:r>
      <w:r w:rsidR="00FB3BEE" w:rsidRPr="00F560D9">
        <w:t>,</w:t>
      </w:r>
      <w:r w:rsidR="00FB3BEE" w:rsidRPr="00F560D9">
        <w:rPr>
          <w:iCs/>
        </w:rPr>
        <w:t xml:space="preserve"> and </w:t>
      </w:r>
      <w:r w:rsidR="00FB3BEE" w:rsidRPr="00F560D9">
        <w:rPr>
          <w:i/>
        </w:rPr>
        <w:t>Specific Medical Procedures</w:t>
      </w:r>
      <w:r w:rsidR="00FB3BEE" w:rsidRPr="00F560D9">
        <w:rPr>
          <w:iCs/>
        </w:rPr>
        <w:t xml:space="preserve"> forms)</w:t>
      </w:r>
      <w:r w:rsidRPr="00F560D9">
        <w:rPr>
          <w:iCs/>
        </w:rPr>
        <w:t xml:space="preserve">. When staff learns of the event through other means, </w:t>
      </w:r>
      <w:r w:rsidRPr="00F560D9">
        <w:rPr>
          <w:rStyle w:val="StyleBodyTextItalicChar"/>
          <w:i/>
        </w:rPr>
        <w:t>Initial Notification of Potential Event/Death</w:t>
      </w:r>
      <w:r w:rsidRPr="00F560D9">
        <w:rPr>
          <w:iCs/>
        </w:rPr>
        <w:t xml:space="preserve"> form information is abstracted from available information.</w:t>
      </w:r>
    </w:p>
    <w:p w:rsidR="002F4A6D" w:rsidRDefault="00FB3BEE" w:rsidP="002F4A6D">
      <w:pPr>
        <w:pStyle w:val="NoSpacing"/>
      </w:pPr>
      <w:r w:rsidRPr="00F560D9">
        <w:t xml:space="preserve">Note:  If a field center discovers a potential event through means other than a Follow-up Call (e.g., unscheduled notification by the participant during an Exam), then it is </w:t>
      </w:r>
      <w:r w:rsidRPr="00F560D9">
        <w:rPr>
          <w:u w:val="single"/>
        </w:rPr>
        <w:t>not</w:t>
      </w:r>
      <w:r w:rsidRPr="00F560D9">
        <w:t xml:space="preserve"> necessary to fill out Follow-up forms for that potential event (General Health, Specific Medical Conditions, Other Admissions, Specific Medical Procedures).</w:t>
      </w:r>
      <w:r w:rsidR="00524274" w:rsidRPr="00F560D9">
        <w:t xml:space="preserve"> </w:t>
      </w:r>
    </w:p>
    <w:p w:rsidR="002F4A6D" w:rsidRDefault="00524274" w:rsidP="002F4A6D">
      <w:pPr>
        <w:pStyle w:val="NoSpacing"/>
      </w:pPr>
      <w:r w:rsidRPr="00F560D9">
        <w:t xml:space="preserve"> </w:t>
      </w:r>
    </w:p>
    <w:p w:rsidR="00FB3BEE" w:rsidRPr="00F560D9" w:rsidRDefault="00524274" w:rsidP="002F4A6D">
      <w:pPr>
        <w:pStyle w:val="NoSpacing"/>
      </w:pPr>
      <w:r w:rsidRPr="00F560D9">
        <w:t>Likewise, do not add the new potential event to a previous Follow-up form (e.g., a General Health form completed a week earlier)</w:t>
      </w:r>
      <w:r w:rsidR="00230F02" w:rsidRPr="00F560D9">
        <w:t xml:space="preserve"> because doing so will confuse the date-tracking function in the Events software</w:t>
      </w:r>
      <w:r w:rsidRPr="00F560D9">
        <w:t xml:space="preserve">. </w:t>
      </w:r>
      <w:r w:rsidR="00FB3BEE" w:rsidRPr="00F560D9">
        <w:t xml:space="preserve">  Instead, you should use the discovered information to submit an Initial Notification immediately and then begin gathering the appropriate documentation for a full investigation.  Do not wait for the receipt of verifying medical records before submitting the Initial Notification (the event type marked on the Initial can always be changed later, on the Final Notice).</w:t>
      </w:r>
    </w:p>
    <w:p w:rsidR="00AD57CF" w:rsidRPr="00F560D9" w:rsidRDefault="00AD57CF" w:rsidP="00FB3BEE">
      <w:pPr>
        <w:spacing w:after="480"/>
        <w:rPr>
          <w:szCs w:val="24"/>
        </w:rPr>
      </w:pPr>
    </w:p>
    <w:p w:rsidR="00FB437D" w:rsidRPr="00F560D9" w:rsidRDefault="00BF6BCC">
      <w:pPr>
        <w:pStyle w:val="BodyText"/>
        <w:rPr>
          <w:iCs/>
        </w:rPr>
      </w:pPr>
      <w:r>
        <w:rPr>
          <w:iCs/>
        </w:rPr>
        <w:br w:type="page"/>
      </w:r>
      <w:r w:rsidR="00FB437D" w:rsidRPr="00F560D9">
        <w:rPr>
          <w:iCs/>
        </w:rPr>
        <w:lastRenderedPageBreak/>
        <w:t>In most ca</w:t>
      </w:r>
      <w:r w:rsidR="00FB437D" w:rsidRPr="00F560D9">
        <w:rPr>
          <w:rStyle w:val="StyleBodyTextItalicChar"/>
        </w:rPr>
        <w:t>ses</w:t>
      </w:r>
      <w:r w:rsidR="00FB437D" w:rsidRPr="00F560D9">
        <w:rPr>
          <w:rStyle w:val="FootnoteReference"/>
          <w:iCs/>
          <w:szCs w:val="24"/>
          <w:vertAlign w:val="superscript"/>
        </w:rPr>
        <w:footnoteReference w:id="1"/>
      </w:r>
      <w:r w:rsidR="00FB437D" w:rsidRPr="00F560D9">
        <w:rPr>
          <w:rStyle w:val="StyleBodyTextItalicChar"/>
        </w:rPr>
        <w:t>,</w:t>
      </w:r>
      <w:r w:rsidR="00FB437D" w:rsidRPr="00F560D9">
        <w:rPr>
          <w:iCs/>
        </w:rPr>
        <w:t xml:space="preserve"> when a participant reports a potential event on the </w:t>
      </w:r>
      <w:r w:rsidR="00FB437D" w:rsidRPr="00F560D9">
        <w:rPr>
          <w:i/>
        </w:rPr>
        <w:t>General Health</w:t>
      </w:r>
      <w:r w:rsidR="00FB437D" w:rsidRPr="00F560D9">
        <w:rPr>
          <w:iCs/>
        </w:rPr>
        <w:t xml:space="preserve"> form (with additional details being collected on the </w:t>
      </w:r>
      <w:r w:rsidR="00FB437D" w:rsidRPr="00F560D9">
        <w:rPr>
          <w:i/>
        </w:rPr>
        <w:t>Specific Medical Conditions</w:t>
      </w:r>
      <w:r w:rsidR="00FB437D" w:rsidRPr="00F560D9">
        <w:rPr>
          <w:iCs/>
        </w:rPr>
        <w:t xml:space="preserve">, </w:t>
      </w:r>
      <w:r w:rsidR="00FB437D" w:rsidRPr="00F560D9">
        <w:rPr>
          <w:i/>
        </w:rPr>
        <w:t>Other Admissions</w:t>
      </w:r>
      <w:r w:rsidR="00FB437D" w:rsidRPr="00F560D9">
        <w:t>,</w:t>
      </w:r>
      <w:r w:rsidR="00FB437D" w:rsidRPr="00F560D9">
        <w:rPr>
          <w:iCs/>
        </w:rPr>
        <w:t xml:space="preserve"> or </w:t>
      </w:r>
      <w:r w:rsidR="00FB437D" w:rsidRPr="00F560D9">
        <w:rPr>
          <w:i/>
        </w:rPr>
        <w:t>Specific Medical Procedures</w:t>
      </w:r>
      <w:r w:rsidR="00FB437D" w:rsidRPr="00F560D9">
        <w:rPr>
          <w:iCs/>
        </w:rPr>
        <w:t xml:space="preserve"> forms), Field Center staff initiates an </w:t>
      </w:r>
      <w:r w:rsidR="00FB437D" w:rsidRPr="00F560D9">
        <w:rPr>
          <w:rStyle w:val="StyleBodyTextItalicChar"/>
          <w:i/>
        </w:rPr>
        <w:t>Initial Notification of Potential Event/Death</w:t>
      </w:r>
      <w:r w:rsidR="00FB437D" w:rsidRPr="00F560D9">
        <w:rPr>
          <w:iCs/>
        </w:rPr>
        <w:t xml:space="preserve"> form to begin the process of investigating the potential event.</w:t>
      </w:r>
    </w:p>
    <w:p w:rsidR="00BF6BCC" w:rsidRPr="00BF6BCC" w:rsidRDefault="00FB437D">
      <w:pPr>
        <w:pStyle w:val="BodyText"/>
        <w:rPr>
          <w:rStyle w:val="StyleBodyTextItalicChar"/>
          <w:i/>
          <w:strike/>
        </w:rPr>
      </w:pPr>
      <w:r w:rsidRPr="00F560D9">
        <w:rPr>
          <w:iCs/>
        </w:rPr>
        <w:t xml:space="preserve">As soon as they are aware of a potential event that requires investigation, it is essential that Field Center staff </w:t>
      </w:r>
      <w:r w:rsidRPr="00F560D9">
        <w:rPr>
          <w:b/>
        </w:rPr>
        <w:t>immediately</w:t>
      </w:r>
      <w:r w:rsidRPr="00F560D9">
        <w:t xml:space="preserve"> </w:t>
      </w:r>
      <w:r w:rsidRPr="00F560D9">
        <w:rPr>
          <w:iCs/>
        </w:rPr>
        <w:t xml:space="preserve">generates, completes, and </w:t>
      </w:r>
      <w:r w:rsidR="00E07D35" w:rsidRPr="00BF6BCC">
        <w:rPr>
          <w:iCs/>
        </w:rPr>
        <w:t>enters</w:t>
      </w:r>
      <w:r w:rsidRPr="00BF6BCC">
        <w:rPr>
          <w:iCs/>
        </w:rPr>
        <w:t xml:space="preserve"> an </w:t>
      </w:r>
      <w:r w:rsidRPr="00BF6BCC">
        <w:rPr>
          <w:rStyle w:val="StyleBodyTextItalicChar"/>
          <w:i/>
        </w:rPr>
        <w:t>Initial Notification of Potential Event/Death</w:t>
      </w:r>
      <w:r w:rsidRPr="00BF6BCC">
        <w:rPr>
          <w:iCs/>
        </w:rPr>
        <w:t xml:space="preserve"> form</w:t>
      </w:r>
      <w:r w:rsidR="00D80630" w:rsidRPr="00BF6BCC">
        <w:rPr>
          <w:iCs/>
        </w:rPr>
        <w:t xml:space="preserve"> into the </w:t>
      </w:r>
      <w:r w:rsidR="00F50403" w:rsidRPr="00BF6BCC">
        <w:rPr>
          <w:iCs/>
        </w:rPr>
        <w:t>EDC.</w:t>
      </w:r>
      <w:r w:rsidRPr="00BF6BCC">
        <w:rPr>
          <w:iCs/>
        </w:rPr>
        <w:t xml:space="preserve"> </w:t>
      </w:r>
      <w:r w:rsidR="00E07D35" w:rsidRPr="00BF6BCC">
        <w:rPr>
          <w:iCs/>
        </w:rPr>
        <w:t>Entering</w:t>
      </w:r>
      <w:r w:rsidRPr="00BF6BCC">
        <w:rPr>
          <w:rStyle w:val="StyleBodyTextItalicChar"/>
        </w:rPr>
        <w:t xml:space="preserve"> the</w:t>
      </w:r>
      <w:r w:rsidRPr="00F560D9">
        <w:rPr>
          <w:rStyle w:val="StyleBodyTextItalicChar"/>
        </w:rPr>
        <w:t xml:space="preserve"> form is crucial as it triggers the next event collection steps at the Field Center and also helps the Coordinating Center track and resolve self-reported events</w:t>
      </w:r>
      <w:r w:rsidR="00BF6BCC">
        <w:rPr>
          <w:rStyle w:val="StyleBodyTextItalicChar"/>
        </w:rPr>
        <w:t>.</w:t>
      </w:r>
    </w:p>
    <w:p w:rsidR="00782BD4" w:rsidRPr="00F560D9" w:rsidRDefault="00782BD4">
      <w:pPr>
        <w:pStyle w:val="BodyText"/>
        <w:rPr>
          <w:rStyle w:val="StyleBodyTextItalicChar"/>
        </w:rPr>
      </w:pPr>
      <w:r w:rsidRPr="00F560D9">
        <w:rPr>
          <w:rStyle w:val="StyleBodyTextItalicChar"/>
        </w:rPr>
        <w:t xml:space="preserve">If—before </w:t>
      </w:r>
      <w:r w:rsidR="00A85F7E" w:rsidRPr="00F560D9">
        <w:rPr>
          <w:rStyle w:val="StyleBodyTextItalicChar"/>
        </w:rPr>
        <w:t xml:space="preserve">completing </w:t>
      </w:r>
      <w:r w:rsidRPr="00F560D9">
        <w:rPr>
          <w:rStyle w:val="StyleBodyTextItalicChar"/>
        </w:rPr>
        <w:t xml:space="preserve">an </w:t>
      </w:r>
      <w:r w:rsidRPr="00F560D9">
        <w:rPr>
          <w:rStyle w:val="StyleBodyTextItalicChar"/>
          <w:i/>
        </w:rPr>
        <w:t>Initial</w:t>
      </w:r>
      <w:r w:rsidRPr="00F560D9">
        <w:rPr>
          <w:rStyle w:val="StyleBodyTextItalicChar"/>
        </w:rPr>
        <w:t xml:space="preserve"> but after </w:t>
      </w:r>
      <w:r w:rsidR="00E07D35" w:rsidRPr="00BF6BCC">
        <w:rPr>
          <w:rStyle w:val="StyleBodyTextItalicChar"/>
        </w:rPr>
        <w:t>entering</w:t>
      </w:r>
      <w:r w:rsidRPr="00F560D9">
        <w:rPr>
          <w:rStyle w:val="StyleBodyTextItalicChar"/>
        </w:rPr>
        <w:t xml:space="preserve"> Follow-up Phone Call forms (GH, SMC, OA, SMP)--a Field Center discovers that there is no record of an event (e.g., </w:t>
      </w:r>
      <w:r w:rsidR="00A85F7E" w:rsidRPr="00F560D9">
        <w:rPr>
          <w:rStyle w:val="StyleBodyTextItalicChar"/>
        </w:rPr>
        <w:t xml:space="preserve">the </w:t>
      </w:r>
      <w:r w:rsidRPr="00F560D9">
        <w:rPr>
          <w:rStyle w:val="StyleBodyTextItalicChar"/>
        </w:rPr>
        <w:t xml:space="preserve">hospital reports no such patient admitted), then an </w:t>
      </w:r>
      <w:r w:rsidRPr="00F560D9">
        <w:rPr>
          <w:rStyle w:val="StyleBodyTextItalicChar"/>
          <w:i/>
        </w:rPr>
        <w:t>Initial</w:t>
      </w:r>
      <w:r w:rsidRPr="00F560D9">
        <w:rPr>
          <w:rStyle w:val="StyleBodyTextItalicChar"/>
        </w:rPr>
        <w:t xml:space="preserve"> is not required.  (The situations that warrant not beginning an </w:t>
      </w:r>
      <w:r w:rsidRPr="00F560D9">
        <w:rPr>
          <w:rStyle w:val="StyleBodyTextItalicChar"/>
          <w:i/>
        </w:rPr>
        <w:t>Initial</w:t>
      </w:r>
      <w:r w:rsidRPr="00F560D9">
        <w:rPr>
          <w:rStyle w:val="StyleBodyTextItalicChar"/>
        </w:rPr>
        <w:t xml:space="preserve"> are the same as the situations described in Section D.2.5, “Deleting Initial Notification Forms for ‘Non-events.’”)  However, even though an </w:t>
      </w:r>
      <w:r w:rsidRPr="00F560D9">
        <w:rPr>
          <w:rStyle w:val="StyleBodyTextItalicChar"/>
          <w:i/>
        </w:rPr>
        <w:t>Initial</w:t>
      </w:r>
      <w:r w:rsidRPr="00F560D9">
        <w:rPr>
          <w:rStyle w:val="StyleBodyTextItalicChar"/>
        </w:rPr>
        <w:t xml:space="preserve"> is not begun, the </w:t>
      </w:r>
      <w:smartTag w:uri="urn:schemas-microsoft-com:office:smarttags" w:element="place">
        <w:smartTag w:uri="urn:schemas-microsoft-com:office:smarttags" w:element="PlaceType">
          <w:r w:rsidRPr="00F560D9">
            <w:rPr>
              <w:rStyle w:val="StyleBodyTextItalicChar"/>
            </w:rPr>
            <w:t>Field</w:t>
          </w:r>
        </w:smartTag>
        <w:r w:rsidRPr="00F560D9">
          <w:rPr>
            <w:rStyle w:val="StyleBodyTextItalicChar"/>
          </w:rPr>
          <w:t xml:space="preserve"> </w:t>
        </w:r>
        <w:smartTag w:uri="urn:schemas-microsoft-com:office:smarttags" w:element="PlaceType">
          <w:r w:rsidRPr="00F560D9">
            <w:rPr>
              <w:rStyle w:val="StyleBodyTextItalicChar"/>
            </w:rPr>
            <w:t>Center</w:t>
          </w:r>
        </w:smartTag>
      </w:smartTag>
      <w:r w:rsidRPr="00F560D9">
        <w:rPr>
          <w:rStyle w:val="StyleBodyTextItalicChar"/>
        </w:rPr>
        <w:t xml:space="preserve"> must still use the Event Software </w:t>
      </w:r>
      <w:r w:rsidR="00CB7EC1" w:rsidRPr="00F560D9">
        <w:rPr>
          <w:rStyle w:val="StyleBodyTextItalicChar"/>
        </w:rPr>
        <w:t xml:space="preserve">to mark investigation “not required” for the Follow-up form in question.  Note:  It is not standard practice to delay the beginning and </w:t>
      </w:r>
      <w:r w:rsidR="00E07D35" w:rsidRPr="00BF6BCC">
        <w:rPr>
          <w:rStyle w:val="StyleBodyTextItalicChar"/>
        </w:rPr>
        <w:t>entering</w:t>
      </w:r>
      <w:r w:rsidR="00CB7EC1" w:rsidRPr="00F560D9">
        <w:rPr>
          <w:rStyle w:val="StyleBodyTextItalicChar"/>
        </w:rPr>
        <w:t xml:space="preserve"> of an </w:t>
      </w:r>
      <w:r w:rsidR="00CB7EC1" w:rsidRPr="00F560D9">
        <w:rPr>
          <w:rStyle w:val="StyleBodyTextItalicChar"/>
          <w:i/>
        </w:rPr>
        <w:t>Initial</w:t>
      </w:r>
      <w:r w:rsidR="00CB7EC1" w:rsidRPr="00F560D9">
        <w:rPr>
          <w:rStyle w:val="StyleBodyTextItalicChar"/>
        </w:rPr>
        <w:t xml:space="preserve"> even if there is doubt about the validity of the potential event reported during the Follow-up call.  If necessary, you can delete the </w:t>
      </w:r>
      <w:r w:rsidR="00CB7EC1" w:rsidRPr="00F560D9">
        <w:rPr>
          <w:rStyle w:val="StyleBodyTextItalicChar"/>
          <w:i/>
        </w:rPr>
        <w:t>Initial</w:t>
      </w:r>
      <w:r w:rsidR="00CB7EC1" w:rsidRPr="00F560D9">
        <w:rPr>
          <w:rStyle w:val="StyleBodyTextItalicChar"/>
        </w:rPr>
        <w:t xml:space="preserve"> at a later date.</w:t>
      </w:r>
    </w:p>
    <w:p w:rsidR="00366DC8" w:rsidRPr="00BF6BCC" w:rsidRDefault="00EA4232" w:rsidP="002F4A6D">
      <w:pPr>
        <w:pStyle w:val="NoSpacing"/>
        <w:rPr>
          <w:rStyle w:val="StyleBodyTextItalicChar"/>
        </w:rPr>
      </w:pPr>
      <w:r w:rsidRPr="00F560D9">
        <w:rPr>
          <w:rStyle w:val="StyleBodyTextItalicChar"/>
        </w:rPr>
        <w:t xml:space="preserve">Records requests should be begin immediately after the scanning of the </w:t>
      </w:r>
      <w:r w:rsidRPr="00F560D9">
        <w:rPr>
          <w:rStyle w:val="StyleBodyTextItalicChar"/>
          <w:i/>
        </w:rPr>
        <w:t>Initial</w:t>
      </w:r>
      <w:r w:rsidRPr="00B2151F">
        <w:rPr>
          <w:rStyle w:val="StyleBodyTextItalicChar"/>
          <w:color w:val="000000"/>
        </w:rPr>
        <w:t xml:space="preserve">. </w:t>
      </w:r>
      <w:r w:rsidR="00B66B9D" w:rsidRPr="00B816A4">
        <w:rPr>
          <w:rStyle w:val="StyleBodyTextItalicChar"/>
          <w:color w:val="FF0000"/>
        </w:rPr>
        <w:t xml:space="preserve"> </w:t>
      </w:r>
      <w:r w:rsidR="00E07D35" w:rsidRPr="00BF6BCC">
        <w:rPr>
          <w:rStyle w:val="StyleBodyTextItalicChar"/>
        </w:rPr>
        <w:t xml:space="preserve">Federal law </w:t>
      </w:r>
      <w:r w:rsidR="00E07D35" w:rsidRPr="00BF6BCC">
        <w:t>requires a signed HIPAA authorization, which does no</w:t>
      </w:r>
      <w:r w:rsidR="00D80630" w:rsidRPr="00BF6BCC">
        <w:t xml:space="preserve">t expire for research purposes, for </w:t>
      </w:r>
      <w:r w:rsidR="00D80630" w:rsidRPr="00BF6BCC">
        <w:rPr>
          <w:rStyle w:val="StyleBodyTextItalicChar"/>
        </w:rPr>
        <w:t xml:space="preserve">the release of personal health information (PHI). </w:t>
      </w:r>
      <w:r w:rsidR="00E07D35" w:rsidRPr="00BF6BCC">
        <w:rPr>
          <w:rStyle w:val="StyleBodyTextItalicChar"/>
        </w:rPr>
        <w:t xml:space="preserve">State laws may impose more stringent rules, however, so it is important to know the local regulations. Some record providers </w:t>
      </w:r>
      <w:r w:rsidR="00B61EE7" w:rsidRPr="00BF6BCC">
        <w:rPr>
          <w:rStyle w:val="StyleBodyTextItalicChar"/>
        </w:rPr>
        <w:t>may also require a signed</w:t>
      </w:r>
      <w:r w:rsidR="00E07D35" w:rsidRPr="00BF6BCC">
        <w:rPr>
          <w:rStyle w:val="StyleBodyTextItalicChar"/>
        </w:rPr>
        <w:t xml:space="preserve"> release of information </w:t>
      </w:r>
      <w:r w:rsidR="00B61EE7" w:rsidRPr="00BF6BCC">
        <w:rPr>
          <w:rStyle w:val="StyleBodyTextItalicChar"/>
        </w:rPr>
        <w:t xml:space="preserve">(ROI) </w:t>
      </w:r>
      <w:r w:rsidR="00E07D35" w:rsidRPr="00BF6BCC">
        <w:rPr>
          <w:rStyle w:val="StyleBodyTextItalicChar"/>
        </w:rPr>
        <w:t>in order to release medical reco</w:t>
      </w:r>
      <w:r w:rsidR="00B61EE7" w:rsidRPr="00BF6BCC">
        <w:rPr>
          <w:rStyle w:val="StyleBodyTextItalicChar"/>
        </w:rPr>
        <w:t xml:space="preserve">rds. From time to </w:t>
      </w:r>
      <w:r w:rsidR="00BF6BCC" w:rsidRPr="00BF6BCC">
        <w:rPr>
          <w:rStyle w:val="StyleBodyTextItalicChar"/>
        </w:rPr>
        <w:t>time,</w:t>
      </w:r>
      <w:r w:rsidR="00B61EE7" w:rsidRPr="00BF6BCC">
        <w:rPr>
          <w:rStyle w:val="StyleBodyTextItalicChar"/>
        </w:rPr>
        <w:t xml:space="preserve"> c</w:t>
      </w:r>
      <w:r w:rsidR="00E07D35" w:rsidRPr="00BF6BCC">
        <w:rPr>
          <w:rStyle w:val="StyleBodyTextItalicChar"/>
        </w:rPr>
        <w:t>heck with the record provi</w:t>
      </w:r>
      <w:r w:rsidR="00B61EE7" w:rsidRPr="00BF6BCC">
        <w:rPr>
          <w:rStyle w:val="StyleBodyTextItalicChar"/>
        </w:rPr>
        <w:t xml:space="preserve">der </w:t>
      </w:r>
      <w:r w:rsidR="00E07D35" w:rsidRPr="00BF6BCC">
        <w:rPr>
          <w:rStyle w:val="StyleBodyTextItalicChar"/>
        </w:rPr>
        <w:t>as to what t</w:t>
      </w:r>
      <w:r w:rsidR="00B61EE7" w:rsidRPr="00BF6BCC">
        <w:rPr>
          <w:rStyle w:val="StyleBodyTextItalicChar"/>
        </w:rPr>
        <w:t>he current ROI requirements are, as rules/procedures may change.</w:t>
      </w:r>
    </w:p>
    <w:p w:rsidR="00BB684D" w:rsidRDefault="00366DC8" w:rsidP="00BB684D">
      <w:pPr>
        <w:pStyle w:val="Heading5"/>
        <w:spacing w:after="120"/>
        <w:rPr>
          <w:rStyle w:val="StyleBodyTextItalicChar"/>
        </w:rPr>
      </w:pPr>
      <w:r w:rsidRPr="00BF6BCC">
        <w:rPr>
          <w:b w:val="0"/>
        </w:rPr>
        <w:lastRenderedPageBreak/>
        <w:t xml:space="preserve">If an investigation cannot be completed because it lacks written participant/proxy consent to release medical records or a signed, dated HIPAA authorization, then the field center should make a thorough effort to obtain the consent or authorization.  Over a </w:t>
      </w:r>
      <w:r w:rsidRPr="00BF6BCC">
        <w:rPr>
          <w:b w:val="0"/>
          <w:u w:val="single"/>
        </w:rPr>
        <w:t>six-week</w:t>
      </w:r>
      <w:r w:rsidRPr="00BF6BCC">
        <w:rPr>
          <w:b w:val="0"/>
        </w:rPr>
        <w:t xml:space="preserve"> period, multiple attempts should be made to contact the ppt/proxy on different days of the week and at varying times of the day.  If contact has still not been made, then the Final may be submitted marked “Insufficient Data To Classify” and a comment about the lack of consent or authorization should be included in the “Investigation Notes” section of the </w:t>
      </w:r>
      <w:r w:rsidR="00FE451D" w:rsidRPr="00BF6BCC">
        <w:rPr>
          <w:b w:val="0"/>
        </w:rPr>
        <w:t>Events database (</w:t>
      </w:r>
      <w:r w:rsidRPr="00BF6BCC">
        <w:rPr>
          <w:b w:val="0"/>
        </w:rPr>
        <w:t>EDC</w:t>
      </w:r>
      <w:r w:rsidR="00FE451D" w:rsidRPr="00BF6BCC">
        <w:rPr>
          <w:b w:val="0"/>
        </w:rPr>
        <w:t>)</w:t>
      </w:r>
      <w:r w:rsidRPr="00BF6BCC">
        <w:rPr>
          <w:b w:val="0"/>
        </w:rPr>
        <w:t>.</w:t>
      </w:r>
    </w:p>
    <w:p w:rsidR="00FB437D" w:rsidRPr="00F560D9" w:rsidRDefault="00CB7EC1" w:rsidP="00BB684D">
      <w:pPr>
        <w:pStyle w:val="BodyText"/>
        <w:rPr>
          <w:rStyle w:val="StyleBodyTextItalicChar"/>
        </w:rPr>
      </w:pPr>
      <w:r w:rsidRPr="00F560D9">
        <w:rPr>
          <w:rStyle w:val="StyleBodyTextItalicChar"/>
        </w:rPr>
        <w:t>T</w:t>
      </w:r>
      <w:r w:rsidR="00FB437D" w:rsidRPr="00F560D9">
        <w:rPr>
          <w:rStyle w:val="StyleBodyTextItalicChar"/>
        </w:rPr>
        <w:t xml:space="preserve">he Field Center </w:t>
      </w:r>
      <w:r w:rsidR="00366DC8" w:rsidRPr="00BF6BCC">
        <w:rPr>
          <w:rStyle w:val="StyleBodyTextItalicChar"/>
        </w:rPr>
        <w:t>is expected to</w:t>
      </w:r>
      <w:r w:rsidR="00FB437D" w:rsidRPr="00BF6BCC">
        <w:rPr>
          <w:rStyle w:val="StyleBodyTextItalicChar"/>
        </w:rPr>
        <w:t xml:space="preserve"> have fini</w:t>
      </w:r>
      <w:r w:rsidR="00D80630" w:rsidRPr="00BF6BCC">
        <w:rPr>
          <w:rStyle w:val="StyleBodyTextItalicChar"/>
        </w:rPr>
        <w:t>shed its investigation (gathered</w:t>
      </w:r>
      <w:r w:rsidR="00FE451D" w:rsidRPr="00BF6BCC">
        <w:rPr>
          <w:rStyle w:val="StyleBodyTextItalicChar"/>
        </w:rPr>
        <w:t>,</w:t>
      </w:r>
      <w:r w:rsidR="00D80630" w:rsidRPr="00BF6BCC">
        <w:rPr>
          <w:rStyle w:val="StyleBodyTextItalicChar"/>
        </w:rPr>
        <w:t xml:space="preserve"> </w:t>
      </w:r>
      <w:r w:rsidR="002B5435" w:rsidRPr="00BF6BCC">
        <w:rPr>
          <w:rStyle w:val="StyleBodyTextItalicChar"/>
        </w:rPr>
        <w:t>scanned</w:t>
      </w:r>
      <w:r w:rsidR="00FE451D" w:rsidRPr="00BF6BCC">
        <w:rPr>
          <w:rStyle w:val="StyleBodyTextItalicChar"/>
        </w:rPr>
        <w:t xml:space="preserve"> and </w:t>
      </w:r>
      <w:r w:rsidR="002B5435" w:rsidRPr="00BF6BCC">
        <w:rPr>
          <w:rStyle w:val="StyleBodyTextItalicChar"/>
        </w:rPr>
        <w:t>entered</w:t>
      </w:r>
      <w:r w:rsidR="00FB437D" w:rsidRPr="00BF6BCC">
        <w:rPr>
          <w:rStyle w:val="StyleBodyTextItalicChar"/>
        </w:rPr>
        <w:t xml:space="preserve"> all relevant records) within 90 days o</w:t>
      </w:r>
      <w:r w:rsidR="00FB437D" w:rsidRPr="00F560D9">
        <w:rPr>
          <w:rStyle w:val="StyleBodyTextItalicChar"/>
        </w:rPr>
        <w:t xml:space="preserve">f the date the </w:t>
      </w:r>
      <w:r w:rsidR="00FB437D" w:rsidRPr="00F560D9">
        <w:rPr>
          <w:rStyle w:val="StyleBodyTextItalicChar"/>
          <w:i/>
          <w:iCs w:val="0"/>
        </w:rPr>
        <w:t xml:space="preserve">Initial Notification </w:t>
      </w:r>
      <w:r w:rsidR="00FB437D" w:rsidRPr="00F560D9">
        <w:rPr>
          <w:rStyle w:val="StyleBodyTextItalicChar"/>
        </w:rPr>
        <w:t xml:space="preserve">is </w:t>
      </w:r>
      <w:r w:rsidR="002B5435" w:rsidRPr="00BF6BCC">
        <w:rPr>
          <w:rStyle w:val="StyleBodyTextItalicChar"/>
        </w:rPr>
        <w:t>entered</w:t>
      </w:r>
      <w:r w:rsidR="00FB437D" w:rsidRPr="00BF6BCC">
        <w:rPr>
          <w:rStyle w:val="StyleBodyTextItalicChar"/>
        </w:rPr>
        <w:t xml:space="preserve">.  The Field Center’s completion of an investigation will be signaled by the </w:t>
      </w:r>
      <w:r w:rsidR="002B5435" w:rsidRPr="00BF6BCC">
        <w:rPr>
          <w:rStyle w:val="StyleBodyTextItalicChar"/>
        </w:rPr>
        <w:t>entry of the</w:t>
      </w:r>
      <w:r w:rsidR="00FB437D" w:rsidRPr="00F560D9">
        <w:rPr>
          <w:rStyle w:val="StyleBodyTextItalicChar"/>
        </w:rPr>
        <w:t xml:space="preserve"> </w:t>
      </w:r>
      <w:r w:rsidR="00FB437D" w:rsidRPr="00F560D9">
        <w:rPr>
          <w:rStyle w:val="StyleBodyTextItalicChar"/>
          <w:i/>
          <w:iCs w:val="0"/>
        </w:rPr>
        <w:t xml:space="preserve">Final Notice </w:t>
      </w:r>
      <w:r w:rsidR="002B5435" w:rsidRPr="00BF6BCC">
        <w:rPr>
          <w:rStyle w:val="StyleBodyTextItalicChar"/>
        </w:rPr>
        <w:t>into the EDC.</w:t>
      </w:r>
      <w:r w:rsidR="002B5435">
        <w:rPr>
          <w:rStyle w:val="StyleBodyTextItalicChar"/>
        </w:rPr>
        <w:t xml:space="preserve"> </w:t>
      </w:r>
      <w:r w:rsidR="00FB437D" w:rsidRPr="00F560D9">
        <w:rPr>
          <w:rStyle w:val="StyleBodyTextItalicChar"/>
        </w:rPr>
        <w:t xml:space="preserve">The </w:t>
      </w:r>
      <w:r w:rsidR="00FB437D" w:rsidRPr="00F560D9">
        <w:rPr>
          <w:rStyle w:val="StyleBodyTextItalicChar"/>
          <w:i/>
          <w:iCs w:val="0"/>
        </w:rPr>
        <w:t xml:space="preserve">Final Notice </w:t>
      </w:r>
      <w:r w:rsidR="00FB437D" w:rsidRPr="00F560D9">
        <w:rPr>
          <w:rStyle w:val="StyleBodyTextItalicChar"/>
        </w:rPr>
        <w:t xml:space="preserve">should not be </w:t>
      </w:r>
      <w:r w:rsidR="002B5435" w:rsidRPr="00BF6BCC">
        <w:rPr>
          <w:rStyle w:val="StyleBodyTextItalicChar"/>
        </w:rPr>
        <w:t>entered</w:t>
      </w:r>
      <w:r w:rsidR="00FB437D" w:rsidRPr="00F560D9">
        <w:rPr>
          <w:rStyle w:val="StyleBodyTextItalicChar"/>
        </w:rPr>
        <w:t xml:space="preserve"> until the investigation is complete and the Field Center is ready for it to proceed to review or</w:t>
      </w:r>
      <w:r w:rsidR="00FE451D">
        <w:rPr>
          <w:rStyle w:val="StyleBodyTextItalicChar"/>
        </w:rPr>
        <w:t xml:space="preserve">, </w:t>
      </w:r>
      <w:r w:rsidR="002B5435">
        <w:rPr>
          <w:rStyle w:val="StyleBodyTextItalicChar"/>
        </w:rPr>
        <w:t>if ineligible for review</w:t>
      </w:r>
      <w:r w:rsidR="002B5435" w:rsidRPr="00BF6BCC">
        <w:rPr>
          <w:rStyle w:val="StyleBodyTextItalicChar"/>
        </w:rPr>
        <w:t>, to</w:t>
      </w:r>
      <w:r w:rsidR="00FB437D" w:rsidRPr="00F560D9">
        <w:rPr>
          <w:rStyle w:val="StyleBodyTextItalicChar"/>
        </w:rPr>
        <w:t xml:space="preserve"> be closed. These timeframes will be used by the Coordinating Center to produce monthly reports in order to aid the Field Centers in the timely completion of eligible investigations.</w:t>
      </w:r>
    </w:p>
    <w:p w:rsidR="00FB437D" w:rsidRPr="00F72E68" w:rsidRDefault="002B5435">
      <w:pPr>
        <w:pStyle w:val="BodyText"/>
        <w:rPr>
          <w:iCs/>
        </w:rPr>
      </w:pPr>
      <w:r w:rsidRPr="00A32FAC">
        <w:rPr>
          <w:iCs/>
        </w:rPr>
        <w:t>Entering</w:t>
      </w:r>
      <w:r w:rsidR="00FB437D" w:rsidRPr="00A32FAC">
        <w:rPr>
          <w:iCs/>
        </w:rPr>
        <w:t xml:space="preserve"> t</w:t>
      </w:r>
      <w:r w:rsidR="00FB437D" w:rsidRPr="00F560D9">
        <w:rPr>
          <w:iCs/>
        </w:rPr>
        <w:t xml:space="preserve">he </w:t>
      </w:r>
      <w:r w:rsidR="00FB437D" w:rsidRPr="00F560D9">
        <w:rPr>
          <w:i/>
          <w:iCs/>
        </w:rPr>
        <w:t>Initial Notification</w:t>
      </w:r>
      <w:r w:rsidR="00FB437D" w:rsidRPr="00F560D9">
        <w:rPr>
          <w:iCs/>
        </w:rPr>
        <w:t xml:space="preserve"> generates a nine digit ID that will be used wit</w:t>
      </w:r>
      <w:r w:rsidR="00FB437D" w:rsidRPr="00F560D9">
        <w:rPr>
          <w:rStyle w:val="StyleBodyTextItalicChar"/>
        </w:rPr>
        <w:t>h all surveillance for</w:t>
      </w:r>
      <w:r w:rsidR="00FB437D" w:rsidRPr="00F560D9">
        <w:rPr>
          <w:iCs/>
        </w:rPr>
        <w:t>ms associated with this investigation. The ID consists of the seven-digit participant ID, plus a sequential two-digit “Investigation ID” for event in</w:t>
      </w:r>
      <w:r>
        <w:rPr>
          <w:iCs/>
        </w:rPr>
        <w:t xml:space="preserve">vestigations beginning with </w:t>
      </w:r>
      <w:r w:rsidRPr="00F72E68">
        <w:rPr>
          <w:iCs/>
        </w:rPr>
        <w:t>“01</w:t>
      </w:r>
      <w:r w:rsidR="002963E3" w:rsidRPr="00F72E68">
        <w:rPr>
          <w:iCs/>
        </w:rPr>
        <w:t>”</w:t>
      </w:r>
      <w:r w:rsidRPr="00F72E68">
        <w:rPr>
          <w:iCs/>
        </w:rPr>
        <w:t xml:space="preserve"> for event dates up to </w:t>
      </w:r>
      <w:r w:rsidR="002963E3" w:rsidRPr="00F72E68">
        <w:rPr>
          <w:iCs/>
        </w:rPr>
        <w:t>3/13/14. After that date, new events will begin with “50.</w:t>
      </w:r>
      <w:r w:rsidR="00FB437D" w:rsidRPr="00F72E68">
        <w:rPr>
          <w:iCs/>
        </w:rPr>
        <w:t xml:space="preserve">” </w:t>
      </w:r>
    </w:p>
    <w:p w:rsidR="00FB437D" w:rsidRPr="00F560D9" w:rsidRDefault="00FB437D">
      <w:pPr>
        <w:pStyle w:val="BodyText"/>
        <w:rPr>
          <w:iCs/>
        </w:rPr>
      </w:pPr>
      <w:r w:rsidRPr="00F560D9">
        <w:rPr>
          <w:iCs/>
        </w:rPr>
        <w:t>NOTE: The two-digit investigation ID is designed to be a unique identifier for the investigation. The Investigation IDs for the same participant may not be in chronologic order.</w:t>
      </w:r>
    </w:p>
    <w:p w:rsidR="00371541" w:rsidRDefault="00EF0F7F" w:rsidP="001F2C8A">
      <w:pPr>
        <w:pStyle w:val="BodyText"/>
        <w:spacing w:after="240"/>
        <w:ind w:left="720" w:right="720"/>
        <w:rPr>
          <w:rFonts w:ascii="Arial" w:hAnsi="Arial"/>
          <w:iCs/>
          <w:color w:val="0070C0"/>
          <w:sz w:val="20"/>
        </w:rPr>
      </w:pPr>
      <w:r>
        <w:rPr>
          <w:rFonts w:ascii="Arial" w:hAnsi="Arial"/>
          <w:iCs/>
          <w:noProof/>
          <w:sz w:val="20"/>
        </w:rPr>
        <w:pict>
          <v:shape id="_x0000_s1135" style="position:absolute;left:0;text-align:left;margin-left:13.8pt;margin-top:27.5pt;width:17.25pt;height:29.25pt;z-index:251652608;mso-position-horizontal:absolute;mso-position-horizontal-relative:text;mso-position-vertical:absolute;mso-position-vertical-relative:text" coordsize="20000,20000" path="m10609,4034l8986,1744,7942,5915,4174,3350r812,3898l1101,7658r2551,3077l,11932r3072,2290l1217,16513r3247,376l4580,20000,6957,16786r1101,1470l9159,16068r1566,1368l11304,14769r2551,1299l13565,13299r3942,1163l15188,11385r1740,-923l15710,8718,20000,6154,15188,6051,16696,2940,13449,5333,13681,,10609,4034xe" strokeweight="1pt">
            <v:path arrowok="t"/>
          </v:shape>
        </w:pict>
      </w:r>
      <w:r w:rsidR="00FB437D" w:rsidRPr="001F2C8A">
        <w:rPr>
          <w:rFonts w:ascii="Arial" w:hAnsi="Arial"/>
          <w:iCs/>
          <w:sz w:val="20"/>
        </w:rPr>
        <w:t xml:space="preserve">In some cases, two or more reported conditions, hospitalizations or procedures detailed on the </w:t>
      </w:r>
      <w:r w:rsidR="00FB437D" w:rsidRPr="001F2C8A">
        <w:rPr>
          <w:rFonts w:ascii="Arial" w:hAnsi="Arial"/>
          <w:i/>
          <w:sz w:val="20"/>
        </w:rPr>
        <w:t>Specific Medical Conditions</w:t>
      </w:r>
      <w:r w:rsidR="00FB437D" w:rsidRPr="001F2C8A">
        <w:rPr>
          <w:rFonts w:ascii="Arial" w:hAnsi="Arial"/>
          <w:i/>
          <w:iCs/>
          <w:sz w:val="20"/>
        </w:rPr>
        <w:t xml:space="preserve">, </w:t>
      </w:r>
      <w:r w:rsidR="00FB437D" w:rsidRPr="001F2C8A">
        <w:rPr>
          <w:rFonts w:ascii="Arial" w:hAnsi="Arial"/>
          <w:i/>
          <w:sz w:val="20"/>
        </w:rPr>
        <w:t>Other Admissions</w:t>
      </w:r>
      <w:r w:rsidR="00FB437D" w:rsidRPr="001F2C8A">
        <w:rPr>
          <w:rFonts w:ascii="Arial" w:hAnsi="Arial"/>
          <w:iCs/>
          <w:sz w:val="20"/>
        </w:rPr>
        <w:t xml:space="preserve"> or </w:t>
      </w:r>
      <w:r w:rsidR="00FB437D" w:rsidRPr="001F2C8A">
        <w:rPr>
          <w:rFonts w:ascii="Arial" w:hAnsi="Arial"/>
          <w:i/>
          <w:sz w:val="20"/>
        </w:rPr>
        <w:t>Specific Medical Procedures</w:t>
      </w:r>
      <w:r w:rsidR="00FB437D" w:rsidRPr="001F2C8A">
        <w:rPr>
          <w:rFonts w:ascii="Arial" w:hAnsi="Arial"/>
          <w:iCs/>
          <w:sz w:val="20"/>
        </w:rPr>
        <w:t xml:space="preserve"> forms are considered together as a single investigation and result in only one </w:t>
      </w:r>
      <w:r w:rsidR="00FB437D" w:rsidRPr="001F2C8A">
        <w:rPr>
          <w:rFonts w:ascii="Arial" w:hAnsi="Arial"/>
          <w:i/>
          <w:sz w:val="20"/>
        </w:rPr>
        <w:t>Initial Notification of Potential Event/Death</w:t>
      </w:r>
      <w:r w:rsidR="00FB437D" w:rsidRPr="001F2C8A">
        <w:rPr>
          <w:rFonts w:ascii="Arial" w:hAnsi="Arial"/>
          <w:iCs/>
          <w:sz w:val="20"/>
        </w:rPr>
        <w:t xml:space="preserve"> form being submitted. Under most circumstances, two or more reported conditions or procedures from the same date or multiple conditions/procedures within the same hospitalization are considered to be linked as such and field center staff needs to initiate only one </w:t>
      </w:r>
      <w:r w:rsidR="00FB437D" w:rsidRPr="001F2C8A">
        <w:rPr>
          <w:rFonts w:ascii="Arial" w:hAnsi="Arial"/>
          <w:i/>
          <w:sz w:val="20"/>
        </w:rPr>
        <w:t>Initial Notification of Potential Event/Death</w:t>
      </w:r>
      <w:r w:rsidR="00FB437D" w:rsidRPr="001F2C8A">
        <w:rPr>
          <w:rFonts w:ascii="Arial" w:hAnsi="Arial"/>
          <w:iCs/>
          <w:sz w:val="20"/>
        </w:rPr>
        <w:t xml:space="preserve"> form to begin the review of those events. For conditions or procedures that occur during separate hospitalizations</w:t>
      </w:r>
      <w:r w:rsidR="00FB437D" w:rsidRPr="00F560D9">
        <w:rPr>
          <w:rFonts w:ascii="Arial" w:hAnsi="Arial"/>
          <w:iCs/>
          <w:sz w:val="20"/>
        </w:rPr>
        <w:t xml:space="preserve"> (or on different dates for outpatient events) the Abstractor may decide to include two or more events in the same investigation if there is no more than 30 days separating the events. Remember: The Physician Reviewers can always link investigations later. Please note in the ‘Investigation Notes’ tab in </w:t>
      </w:r>
      <w:r w:rsidR="00FB437D" w:rsidRPr="00F72E68">
        <w:rPr>
          <w:rFonts w:ascii="Arial" w:hAnsi="Arial"/>
          <w:iCs/>
          <w:sz w:val="20"/>
        </w:rPr>
        <w:t xml:space="preserve">the </w:t>
      </w:r>
      <w:r w:rsidR="00371541" w:rsidRPr="00F72E68">
        <w:rPr>
          <w:rFonts w:ascii="Arial" w:hAnsi="Arial"/>
          <w:iCs/>
          <w:sz w:val="20"/>
        </w:rPr>
        <w:t>EDC</w:t>
      </w:r>
      <w:r w:rsidR="00FB437D" w:rsidRPr="00F560D9">
        <w:rPr>
          <w:rFonts w:ascii="Arial" w:hAnsi="Arial"/>
          <w:iCs/>
          <w:sz w:val="20"/>
        </w:rPr>
        <w:t xml:space="preserve"> if you think two investigations may be linked. They will be sent together to Review.</w:t>
      </w:r>
      <w:r w:rsidR="005D4768">
        <w:rPr>
          <w:rFonts w:ascii="Arial" w:hAnsi="Arial"/>
          <w:iCs/>
          <w:sz w:val="20"/>
        </w:rPr>
        <w:t xml:space="preserve"> </w:t>
      </w:r>
    </w:p>
    <w:p w:rsidR="00225DDC" w:rsidRPr="00F560D9" w:rsidRDefault="00D2155F" w:rsidP="00C751BF">
      <w:pPr>
        <w:rPr>
          <w:b/>
          <w:sz w:val="26"/>
          <w:szCs w:val="26"/>
        </w:rPr>
      </w:pPr>
      <w:r>
        <w:rPr>
          <w:b/>
          <w:sz w:val="26"/>
          <w:szCs w:val="26"/>
        </w:rPr>
        <w:br w:type="page"/>
      </w:r>
      <w:r w:rsidR="00225DDC" w:rsidRPr="00F560D9">
        <w:rPr>
          <w:b/>
          <w:sz w:val="26"/>
          <w:szCs w:val="26"/>
        </w:rPr>
        <w:lastRenderedPageBreak/>
        <w:t>When to divide a potential event into multiple investigations</w:t>
      </w:r>
    </w:p>
    <w:p w:rsidR="00225DDC" w:rsidRPr="00F560D9" w:rsidRDefault="00225DDC" w:rsidP="00225DDC">
      <w:pPr>
        <w:rPr>
          <w:szCs w:val="24"/>
        </w:rPr>
      </w:pPr>
      <w:r w:rsidRPr="00F560D9">
        <w:rPr>
          <w:szCs w:val="24"/>
        </w:rPr>
        <w:t>The</w:t>
      </w:r>
      <w:r w:rsidR="00F7298C" w:rsidRPr="00F7298C">
        <w:rPr>
          <w:szCs w:val="24"/>
        </w:rPr>
        <w:t xml:space="preserve"> </w:t>
      </w:r>
      <w:r w:rsidR="00F7298C" w:rsidRPr="00F72E68">
        <w:rPr>
          <w:szCs w:val="24"/>
        </w:rPr>
        <w:t>following</w:t>
      </w:r>
      <w:r w:rsidRPr="00F72E68">
        <w:rPr>
          <w:szCs w:val="24"/>
        </w:rPr>
        <w:t xml:space="preserve"> flowchart and instructions </w:t>
      </w:r>
      <w:r w:rsidR="00F7298C" w:rsidRPr="00F72E68">
        <w:rPr>
          <w:szCs w:val="24"/>
        </w:rPr>
        <w:t>below</w:t>
      </w:r>
      <w:r w:rsidR="00F7298C" w:rsidRPr="00F560D9">
        <w:rPr>
          <w:szCs w:val="24"/>
        </w:rPr>
        <w:t xml:space="preserve"> </w:t>
      </w:r>
      <w:r w:rsidRPr="00F560D9">
        <w:rPr>
          <w:szCs w:val="24"/>
        </w:rPr>
        <w:t>describe when and how to join or divide multiple events into one or several investigations.  This is not a matter of distinguishing between ER visits, hospital admissions, and rehab stays; MESA Events protocol regarding those elements remains unchanged.  Rather, this is a matter of dividing potential endpoint incidents into multiple investigations.</w:t>
      </w:r>
    </w:p>
    <w:p w:rsidR="00225DDC" w:rsidRPr="00F560D9" w:rsidRDefault="00225DDC" w:rsidP="00225DDC">
      <w:pPr>
        <w:rPr>
          <w:szCs w:val="24"/>
        </w:rPr>
      </w:pPr>
      <w:r w:rsidRPr="00F560D9">
        <w:rPr>
          <w:szCs w:val="24"/>
        </w:rPr>
        <w:t>As you will notice, this issue is more relevant for potential c</w:t>
      </w:r>
      <w:r w:rsidR="00F7298C">
        <w:rPr>
          <w:szCs w:val="24"/>
        </w:rPr>
        <w:t xml:space="preserve">erebrovascular investigations. </w:t>
      </w:r>
      <w:r w:rsidRPr="00F560D9">
        <w:rPr>
          <w:szCs w:val="24"/>
        </w:rPr>
        <w:t xml:space="preserve">For example, if hospital records indicate that a participant was hospitalized for a stroke </w:t>
      </w:r>
      <w:r w:rsidR="00F7298C">
        <w:rPr>
          <w:szCs w:val="24"/>
        </w:rPr>
        <w:t>but had non-hospitalized TIA-li</w:t>
      </w:r>
      <w:r w:rsidRPr="00F560D9">
        <w:rPr>
          <w:szCs w:val="24"/>
        </w:rPr>
        <w:t>ke spells in the days or weeks prior to the stroke hospitalization, then we would now like to create an additional out-of-hospital investigations for those potential TIA spells.</w:t>
      </w:r>
    </w:p>
    <w:p w:rsidR="00225DDC" w:rsidRPr="00F560D9" w:rsidRDefault="00225DDC" w:rsidP="00225DDC">
      <w:pPr>
        <w:rPr>
          <w:szCs w:val="24"/>
        </w:rPr>
      </w:pPr>
      <w:r w:rsidRPr="00F560D9">
        <w:rPr>
          <w:szCs w:val="24"/>
        </w:rPr>
        <w:t>After receiving medical records requested from a physician or a hospital, please read them carefully to determine (a) if reports for all significant procedures/consultations mentioned in the records are also included (e.g., CT or MRI reports), and (b) if an additional investigation should be initiated according to the flow chart below (when in doubt, go ahead and initiate an additional investigation, consult your site’s local physician reviewer, contact the Coordinating Center</w:t>
      </w:r>
      <w:r w:rsidR="00F7298C">
        <w:rPr>
          <w:szCs w:val="24"/>
        </w:rPr>
        <w:t xml:space="preserve"> </w:t>
      </w:r>
      <w:r w:rsidR="00065116" w:rsidRPr="00282ABD">
        <w:rPr>
          <w:szCs w:val="24"/>
        </w:rPr>
        <w:t xml:space="preserve">or Central </w:t>
      </w:r>
      <w:r w:rsidR="00F7298C" w:rsidRPr="00282ABD">
        <w:rPr>
          <w:szCs w:val="24"/>
        </w:rPr>
        <w:t>Abstractor</w:t>
      </w:r>
      <w:r w:rsidRPr="00F560D9">
        <w:rPr>
          <w:szCs w:val="24"/>
        </w:rPr>
        <w:t>).</w:t>
      </w:r>
    </w:p>
    <w:p w:rsidR="00225DDC" w:rsidRPr="00F560D9" w:rsidRDefault="00225DDC" w:rsidP="00225DDC">
      <w:pPr>
        <w:rPr>
          <w:szCs w:val="24"/>
        </w:rPr>
      </w:pPr>
      <w:r w:rsidRPr="00F560D9">
        <w:rPr>
          <w:szCs w:val="24"/>
        </w:rPr>
        <w:t xml:space="preserve">If </w:t>
      </w:r>
      <w:r w:rsidR="00F7298C">
        <w:rPr>
          <w:szCs w:val="24"/>
        </w:rPr>
        <w:t xml:space="preserve">the </w:t>
      </w:r>
      <w:r w:rsidR="00F7298C" w:rsidRPr="00282ABD">
        <w:rPr>
          <w:szCs w:val="24"/>
        </w:rPr>
        <w:t>C</w:t>
      </w:r>
      <w:r w:rsidRPr="00282ABD">
        <w:rPr>
          <w:szCs w:val="24"/>
        </w:rPr>
        <w:t xml:space="preserve">entral Stroke </w:t>
      </w:r>
      <w:r w:rsidR="00F7298C" w:rsidRPr="00282ABD">
        <w:rPr>
          <w:szCs w:val="24"/>
        </w:rPr>
        <w:t>or C</w:t>
      </w:r>
      <w:r w:rsidR="001F2C8A" w:rsidRPr="00282ABD">
        <w:rPr>
          <w:szCs w:val="24"/>
        </w:rPr>
        <w:t>ardiac/PVD</w:t>
      </w:r>
      <w:r w:rsidR="00F7298C" w:rsidRPr="00282ABD">
        <w:rPr>
          <w:szCs w:val="24"/>
        </w:rPr>
        <w:t xml:space="preserve"> </w:t>
      </w:r>
      <w:r w:rsidRPr="00282ABD">
        <w:rPr>
          <w:szCs w:val="24"/>
        </w:rPr>
        <w:t>Abstractor</w:t>
      </w:r>
      <w:r w:rsidR="00F7298C" w:rsidRPr="00282ABD">
        <w:rPr>
          <w:szCs w:val="24"/>
        </w:rPr>
        <w:t>,</w:t>
      </w:r>
      <w:r w:rsidRPr="00282ABD">
        <w:rPr>
          <w:szCs w:val="24"/>
        </w:rPr>
        <w:t xml:space="preserve"> or the MESA Physician Reviewers</w:t>
      </w:r>
      <w:r w:rsidR="00F7298C" w:rsidRPr="00282ABD">
        <w:rPr>
          <w:szCs w:val="24"/>
        </w:rPr>
        <w:t>,</w:t>
      </w:r>
      <w:r w:rsidRPr="00282ABD">
        <w:rPr>
          <w:szCs w:val="24"/>
        </w:rPr>
        <w:t xml:space="preserve"> identify a need to begin an additional investigation related to an already-completed investigation, the </w:t>
      </w:r>
      <w:r w:rsidR="00F7298C" w:rsidRPr="00282ABD">
        <w:rPr>
          <w:szCs w:val="24"/>
        </w:rPr>
        <w:t>Central</w:t>
      </w:r>
      <w:r w:rsidRPr="00282ABD">
        <w:rPr>
          <w:szCs w:val="24"/>
        </w:rPr>
        <w:t xml:space="preserve"> Abstractor or Coordinati</w:t>
      </w:r>
      <w:r w:rsidRPr="00F560D9">
        <w:rPr>
          <w:szCs w:val="24"/>
        </w:rPr>
        <w:t>ng Center will notify you.</w:t>
      </w:r>
    </w:p>
    <w:p w:rsidR="00225DDC" w:rsidRPr="00F560D9" w:rsidRDefault="00225DDC" w:rsidP="00225DDC">
      <w:pPr>
        <w:rPr>
          <w:szCs w:val="24"/>
        </w:rPr>
      </w:pPr>
      <w:r w:rsidRPr="00F560D9">
        <w:rPr>
          <w:szCs w:val="24"/>
        </w:rPr>
        <w:br w:type="page"/>
      </w:r>
      <w:r w:rsidR="00EF0F7F">
        <w:rPr>
          <w:noProof/>
          <w:szCs w:val="24"/>
        </w:rPr>
        <w:lastRenderedPageBreak/>
        <w:pict>
          <v:shapetype id="_x0000_t110" coordsize="21600,21600" o:spt="110" path="m10800,l,10800,10800,21600,21600,10800xe">
            <v:stroke joinstyle="miter"/>
            <v:path gradientshapeok="t" o:connecttype="rect" textboxrect="5400,5400,16200,16200"/>
          </v:shapetype>
          <v:shape id="_x0000_s1179" type="#_x0000_t110" style="position:absolute;margin-left:165.6pt;margin-top:13pt;width:108pt;height:63pt;z-index:251657728">
            <v:textbox style="mso-next-textbox:#_x0000_s1179">
              <w:txbxContent>
                <w:p w:rsidR="00225DDC" w:rsidRPr="0046347A" w:rsidRDefault="00225DDC" w:rsidP="00225DDC">
                  <w:pPr>
                    <w:jc w:val="center"/>
                    <w:rPr>
                      <w:rFonts w:ascii="Arial" w:hAnsi="Arial" w:cs="Arial"/>
                      <w:sz w:val="20"/>
                    </w:rPr>
                  </w:pPr>
                  <w:r w:rsidRPr="0046347A">
                    <w:rPr>
                      <w:rFonts w:ascii="Arial" w:hAnsi="Arial" w:cs="Arial"/>
                      <w:sz w:val="20"/>
                    </w:rPr>
                    <w:t>Potential Event(s)</w:t>
                  </w:r>
                </w:p>
                <w:p w:rsidR="00225DDC" w:rsidRDefault="00225DDC" w:rsidP="00225DDC"/>
              </w:txbxContent>
            </v:textbox>
          </v:shape>
        </w:pict>
      </w:r>
    </w:p>
    <w:p w:rsidR="00225DDC" w:rsidRPr="00F560D9" w:rsidRDefault="00225DDC" w:rsidP="00225DDC"/>
    <w:p w:rsidR="00225DDC" w:rsidRPr="00F560D9" w:rsidRDefault="00225DDC" w:rsidP="00225DDC"/>
    <w:p w:rsidR="00225DDC" w:rsidRPr="00F560D9" w:rsidRDefault="00EF0F7F" w:rsidP="00225DDC">
      <w:r>
        <w:rPr>
          <w:noProof/>
        </w:rPr>
        <w:pict>
          <v:line id="_x0000_s1181" style="position:absolute;z-index:251659776" from="237.6pt,7.6pt" to="273.6pt,34.6pt">
            <v:stroke endarrow="block"/>
          </v:line>
        </w:pict>
      </w:r>
      <w:r>
        <w:rPr>
          <w:noProof/>
        </w:rPr>
        <w:pict>
          <v:line id="_x0000_s1180" style="position:absolute;flip:x;z-index:251658752" from="165.6pt,7.6pt" to="201.6pt,34.6pt">
            <v:stroke endarrow="block"/>
          </v:line>
        </w:pict>
      </w:r>
      <w:r>
        <w:rPr>
          <w:noProof/>
        </w:rPr>
        <w:pict>
          <v:oval id="_x0000_s1177" style="position:absolute;margin-left:246.6pt;margin-top:27.4pt;width:180pt;height:1in;z-index:251656704">
            <v:textbox style="mso-next-textbox:#_x0000_s1177">
              <w:txbxContent>
                <w:p w:rsidR="00225DDC" w:rsidRPr="0046347A" w:rsidRDefault="00225DDC" w:rsidP="00225DDC">
                  <w:pPr>
                    <w:jc w:val="center"/>
                    <w:rPr>
                      <w:rFonts w:ascii="Arial" w:hAnsi="Arial"/>
                      <w:sz w:val="20"/>
                    </w:rPr>
                  </w:pPr>
                  <w:r w:rsidRPr="0046347A">
                    <w:rPr>
                      <w:rFonts w:ascii="Arial" w:hAnsi="Arial"/>
                      <w:b/>
                      <w:sz w:val="20"/>
                    </w:rPr>
                    <w:t>Cerebro-only or Cerebro-Cardiac Combination</w:t>
                  </w:r>
                  <w:r w:rsidRPr="0046347A">
                    <w:rPr>
                      <w:rFonts w:ascii="Arial" w:hAnsi="Arial"/>
                      <w:sz w:val="20"/>
                    </w:rPr>
                    <w:t xml:space="preserve"> (according to Eligibility Form)</w:t>
                  </w:r>
                </w:p>
                <w:p w:rsidR="00225DDC" w:rsidRDefault="00225DDC" w:rsidP="00225DDC">
                  <w:pPr>
                    <w:jc w:val="center"/>
                  </w:pPr>
                </w:p>
              </w:txbxContent>
            </v:textbox>
          </v:oval>
        </w:pict>
      </w:r>
      <w:r w:rsidR="00225DDC" w:rsidRPr="00F560D9">
        <w:br/>
      </w:r>
    </w:p>
    <w:p w:rsidR="00225DDC" w:rsidRPr="00F560D9" w:rsidRDefault="00EF0F7F" w:rsidP="00225DDC">
      <w:pPr>
        <w:rPr>
          <w:rFonts w:ascii="Arial" w:hAnsi="Arial" w:cs="Arial"/>
          <w:b/>
        </w:rPr>
      </w:pPr>
      <w:r>
        <w:rPr>
          <w:noProof/>
        </w:rPr>
        <w:pict>
          <v:oval id="_x0000_s1176" style="position:absolute;margin-left:66.6pt;margin-top:2.8pt;width:2in;height:61.2pt;z-index:251655680">
            <v:textbox style="mso-next-textbox:#_x0000_s1176">
              <w:txbxContent>
                <w:p w:rsidR="00225DDC" w:rsidRPr="0046347A" w:rsidRDefault="00225DDC" w:rsidP="00225DDC">
                  <w:pPr>
                    <w:jc w:val="center"/>
                    <w:rPr>
                      <w:rFonts w:ascii="Arial" w:hAnsi="Arial"/>
                      <w:sz w:val="20"/>
                    </w:rPr>
                  </w:pPr>
                  <w:r w:rsidRPr="0046347A">
                    <w:rPr>
                      <w:rFonts w:ascii="Arial" w:hAnsi="Arial"/>
                      <w:b/>
                      <w:sz w:val="20"/>
                    </w:rPr>
                    <w:t>Cardiac</w:t>
                  </w:r>
                  <w:r w:rsidR="008A56FB" w:rsidRPr="00D2155F">
                    <w:rPr>
                      <w:rFonts w:ascii="Arial" w:hAnsi="Arial"/>
                      <w:b/>
                      <w:sz w:val="20"/>
                    </w:rPr>
                    <w:t>/PAD/PVD</w:t>
                  </w:r>
                  <w:r w:rsidRPr="00D2155F">
                    <w:rPr>
                      <w:rFonts w:ascii="Arial" w:hAnsi="Arial"/>
                      <w:b/>
                      <w:sz w:val="20"/>
                    </w:rPr>
                    <w:t>-</w:t>
                  </w:r>
                  <w:r w:rsidRPr="0046347A">
                    <w:rPr>
                      <w:rFonts w:ascii="Arial" w:hAnsi="Arial"/>
                      <w:b/>
                      <w:sz w:val="20"/>
                    </w:rPr>
                    <w:t>only</w:t>
                  </w:r>
                  <w:r w:rsidRPr="0046347A">
                    <w:rPr>
                      <w:rFonts w:ascii="Arial" w:hAnsi="Arial"/>
                      <w:sz w:val="20"/>
                    </w:rPr>
                    <w:t xml:space="preserve"> (according to Eligibility Form)</w:t>
                  </w:r>
                </w:p>
                <w:p w:rsidR="00225DDC" w:rsidRDefault="00225DDC" w:rsidP="00225DDC">
                  <w:pPr>
                    <w:jc w:val="center"/>
                  </w:pPr>
                </w:p>
                <w:p w:rsidR="00FB437D" w:rsidRDefault="00FB437D" w:rsidP="00225DDC"/>
              </w:txbxContent>
            </v:textbox>
          </v:oval>
        </w:pict>
      </w:r>
      <w:r w:rsidR="00225DDC" w:rsidRPr="00F560D9">
        <w:rPr>
          <w:rFonts w:ascii="Arial" w:hAnsi="Arial" w:cs="Arial"/>
          <w:b/>
        </w:rPr>
        <w:t>TYPE</w:t>
      </w:r>
    </w:p>
    <w:p w:rsidR="00225DDC" w:rsidRPr="00F560D9" w:rsidRDefault="00225DDC" w:rsidP="00225DDC"/>
    <w:p w:rsidR="00225DDC" w:rsidRPr="00F560D9" w:rsidRDefault="00225DDC" w:rsidP="00225DDC"/>
    <w:p w:rsidR="00225DDC" w:rsidRPr="00F560D9" w:rsidRDefault="00EF0F7F" w:rsidP="00225DDC">
      <w:r>
        <w:rPr>
          <w:noProof/>
        </w:rPr>
        <w:pict>
          <v:line id="_x0000_s1182" style="position:absolute;z-index:251660800" from="336.6pt,4.6pt" to="336.6pt,24.4pt">
            <v:stroke endarrow="block"/>
          </v:line>
        </w:pict>
      </w:r>
      <w:r>
        <w:rPr>
          <w:noProof/>
        </w:rPr>
        <w:pict>
          <v:line id="_x0000_s1183" style="position:absolute;z-index:251661824" from="138.6pt,4.6pt" to="138.6pt,24.4pt">
            <v:stroke endarrow="block"/>
          </v:line>
        </w:pict>
      </w:r>
    </w:p>
    <w:tbl>
      <w:tblPr>
        <w:tblpPr w:leftFromText="180" w:rightFromText="180" w:vertAnchor="text" w:horzAnchor="margin" w:tblpXSpec="right" w:tblpY="47"/>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tblGrid>
      <w:tr w:rsidR="00225DDC" w:rsidRPr="00F8709B" w:rsidTr="00F8709B">
        <w:trPr>
          <w:trHeight w:val="893"/>
        </w:trPr>
        <w:tc>
          <w:tcPr>
            <w:tcW w:w="2088" w:type="dxa"/>
            <w:vAlign w:val="center"/>
          </w:tcPr>
          <w:p w:rsidR="00225DDC" w:rsidRPr="00F8709B" w:rsidRDefault="00225DDC" w:rsidP="00F8709B">
            <w:pPr>
              <w:rPr>
                <w:rFonts w:ascii="Arial" w:eastAsia="Times New Roman" w:hAnsi="Arial" w:cs="Arial"/>
                <w:b/>
                <w:sz w:val="20"/>
              </w:rPr>
            </w:pPr>
            <w:r w:rsidRPr="00F8709B">
              <w:rPr>
                <w:rFonts w:ascii="Arial" w:eastAsia="Times New Roman" w:hAnsi="Arial" w:cs="Arial"/>
                <w:b/>
                <w:sz w:val="20"/>
              </w:rPr>
              <w:t xml:space="preserve">Possible endpoints in the event </w:t>
            </w:r>
          </w:p>
        </w:tc>
        <w:tc>
          <w:tcPr>
            <w:tcW w:w="1980" w:type="dxa"/>
            <w:vAlign w:val="center"/>
          </w:tcPr>
          <w:p w:rsidR="00225DDC" w:rsidRPr="00F8709B" w:rsidRDefault="00225DDC" w:rsidP="00F8709B">
            <w:pPr>
              <w:jc w:val="center"/>
              <w:rPr>
                <w:rFonts w:ascii="Arial" w:eastAsia="Times New Roman" w:hAnsi="Arial" w:cs="Arial"/>
                <w:b/>
                <w:sz w:val="20"/>
              </w:rPr>
            </w:pPr>
            <w:r w:rsidRPr="00F8709B">
              <w:rPr>
                <w:rFonts w:ascii="Arial" w:eastAsia="Times New Roman" w:hAnsi="Arial" w:cs="Arial"/>
                <w:b/>
                <w:sz w:val="20"/>
              </w:rPr>
              <w:br/>
              <w:t xml:space="preserve">Number of Investigations   Needed </w:t>
            </w:r>
            <w:r w:rsidRPr="00F8709B">
              <w:rPr>
                <w:rFonts w:ascii="Arial" w:eastAsia="Times New Roman" w:hAnsi="Arial" w:cs="Arial"/>
                <w:b/>
                <w:sz w:val="20"/>
              </w:rPr>
              <w:br/>
              <w:t>(cardiac endpoint doesn’t require separate investigation)</w:t>
            </w:r>
          </w:p>
          <w:p w:rsidR="00225DDC" w:rsidRPr="00F8709B" w:rsidRDefault="00225DDC" w:rsidP="00F8709B">
            <w:pPr>
              <w:jc w:val="center"/>
              <w:rPr>
                <w:rFonts w:ascii="Arial" w:eastAsia="Times New Roman" w:hAnsi="Arial" w:cs="Arial"/>
                <w:b/>
                <w:sz w:val="20"/>
              </w:rPr>
            </w:pPr>
          </w:p>
        </w:tc>
      </w:tr>
      <w:tr w:rsidR="00225DDC" w:rsidRPr="00F8709B" w:rsidTr="00F8709B">
        <w:tc>
          <w:tcPr>
            <w:tcW w:w="2088" w:type="dxa"/>
            <w:vAlign w:val="center"/>
          </w:tcPr>
          <w:p w:rsidR="00225DDC" w:rsidRPr="00F8709B" w:rsidRDefault="00225DDC" w:rsidP="00F8709B">
            <w:pPr>
              <w:rPr>
                <w:rFonts w:ascii="Arial" w:eastAsia="Times New Roman" w:hAnsi="Arial" w:cs="Arial"/>
                <w:sz w:val="20"/>
              </w:rPr>
            </w:pPr>
            <w:r w:rsidRPr="00F8709B">
              <w:rPr>
                <w:rFonts w:ascii="Arial" w:eastAsia="Times New Roman" w:hAnsi="Arial" w:cs="Arial"/>
                <w:sz w:val="20"/>
              </w:rPr>
              <w:t>2 or more TIA’s with no intervening strokes</w:t>
            </w:r>
          </w:p>
        </w:tc>
        <w:tc>
          <w:tcPr>
            <w:tcW w:w="1980" w:type="dxa"/>
            <w:vAlign w:val="center"/>
          </w:tcPr>
          <w:p w:rsidR="00225DDC" w:rsidRPr="00F8709B" w:rsidRDefault="00225DDC" w:rsidP="00F8709B">
            <w:pPr>
              <w:jc w:val="center"/>
              <w:rPr>
                <w:rFonts w:ascii="Arial" w:eastAsia="Times New Roman" w:hAnsi="Arial" w:cs="Arial"/>
                <w:b/>
                <w:sz w:val="20"/>
              </w:rPr>
            </w:pPr>
            <w:r w:rsidRPr="00F8709B">
              <w:rPr>
                <w:rFonts w:ascii="Arial" w:eastAsia="Times New Roman" w:hAnsi="Arial" w:cs="Arial"/>
                <w:b/>
                <w:sz w:val="20"/>
              </w:rPr>
              <w:t>1</w:t>
            </w:r>
          </w:p>
        </w:tc>
      </w:tr>
      <w:tr w:rsidR="00225DDC" w:rsidRPr="00F8709B" w:rsidTr="00F8709B">
        <w:tc>
          <w:tcPr>
            <w:tcW w:w="2088" w:type="dxa"/>
            <w:vAlign w:val="center"/>
          </w:tcPr>
          <w:p w:rsidR="00225DDC" w:rsidRPr="00F8709B" w:rsidRDefault="00225DDC" w:rsidP="00F8709B">
            <w:pPr>
              <w:rPr>
                <w:rFonts w:ascii="Arial" w:eastAsia="Times New Roman" w:hAnsi="Arial" w:cs="Arial"/>
                <w:sz w:val="20"/>
              </w:rPr>
            </w:pPr>
            <w:r w:rsidRPr="00F8709B">
              <w:rPr>
                <w:rFonts w:ascii="Arial" w:eastAsia="Times New Roman" w:hAnsi="Arial" w:cs="Arial"/>
                <w:sz w:val="20"/>
              </w:rPr>
              <w:t>TIA(s) and 1 stroke</w:t>
            </w:r>
          </w:p>
        </w:tc>
        <w:tc>
          <w:tcPr>
            <w:tcW w:w="1980" w:type="dxa"/>
            <w:vAlign w:val="center"/>
          </w:tcPr>
          <w:p w:rsidR="00225DDC" w:rsidRPr="00F8709B" w:rsidRDefault="00225DDC" w:rsidP="00F8709B">
            <w:pPr>
              <w:jc w:val="center"/>
              <w:rPr>
                <w:rFonts w:ascii="Arial" w:eastAsia="Times New Roman" w:hAnsi="Arial" w:cs="Arial"/>
                <w:b/>
                <w:sz w:val="20"/>
              </w:rPr>
            </w:pPr>
            <w:r w:rsidRPr="00F8709B">
              <w:rPr>
                <w:rFonts w:ascii="Arial" w:eastAsia="Times New Roman" w:hAnsi="Arial" w:cs="Arial"/>
                <w:b/>
                <w:sz w:val="20"/>
              </w:rPr>
              <w:t>2</w:t>
            </w:r>
          </w:p>
        </w:tc>
      </w:tr>
      <w:tr w:rsidR="00225DDC" w:rsidRPr="00F8709B" w:rsidTr="00F8709B">
        <w:tc>
          <w:tcPr>
            <w:tcW w:w="2088" w:type="dxa"/>
            <w:vAlign w:val="center"/>
          </w:tcPr>
          <w:p w:rsidR="00225DDC" w:rsidRPr="00F8709B" w:rsidRDefault="00225DDC" w:rsidP="00F8709B">
            <w:pPr>
              <w:rPr>
                <w:rFonts w:ascii="Arial" w:eastAsia="Times New Roman" w:hAnsi="Arial" w:cs="Arial"/>
                <w:sz w:val="20"/>
              </w:rPr>
            </w:pPr>
            <w:r w:rsidRPr="00F8709B">
              <w:rPr>
                <w:rFonts w:ascii="Arial" w:eastAsia="Times New Roman" w:hAnsi="Arial" w:cs="Arial"/>
                <w:sz w:val="20"/>
              </w:rPr>
              <w:t>TIA(s) and 2 strokes</w:t>
            </w:r>
          </w:p>
        </w:tc>
        <w:tc>
          <w:tcPr>
            <w:tcW w:w="1980" w:type="dxa"/>
            <w:vAlign w:val="center"/>
          </w:tcPr>
          <w:p w:rsidR="00225DDC" w:rsidRPr="00F8709B" w:rsidRDefault="00225DDC" w:rsidP="00F8709B">
            <w:pPr>
              <w:jc w:val="center"/>
              <w:rPr>
                <w:rFonts w:ascii="Arial" w:eastAsia="Times New Roman" w:hAnsi="Arial" w:cs="Arial"/>
                <w:b/>
                <w:sz w:val="20"/>
              </w:rPr>
            </w:pPr>
            <w:r w:rsidRPr="00F8709B">
              <w:rPr>
                <w:rFonts w:ascii="Arial" w:eastAsia="Times New Roman" w:hAnsi="Arial" w:cs="Arial"/>
                <w:b/>
                <w:sz w:val="20"/>
              </w:rPr>
              <w:t>3</w:t>
            </w:r>
          </w:p>
        </w:tc>
      </w:tr>
      <w:tr w:rsidR="00225DDC" w:rsidRPr="00F8709B" w:rsidTr="00F8709B">
        <w:tc>
          <w:tcPr>
            <w:tcW w:w="2088" w:type="dxa"/>
            <w:vAlign w:val="center"/>
          </w:tcPr>
          <w:p w:rsidR="00225DDC" w:rsidRPr="00F8709B" w:rsidRDefault="00225DDC" w:rsidP="00F8709B">
            <w:pPr>
              <w:rPr>
                <w:rFonts w:ascii="Arial" w:eastAsia="Times New Roman" w:hAnsi="Arial" w:cs="Arial"/>
                <w:sz w:val="20"/>
              </w:rPr>
            </w:pPr>
            <w:r w:rsidRPr="00F8709B">
              <w:rPr>
                <w:rFonts w:ascii="Arial" w:eastAsia="Times New Roman" w:hAnsi="Arial" w:cs="Arial"/>
                <w:sz w:val="20"/>
              </w:rPr>
              <w:t>2 or more strokes</w:t>
            </w:r>
          </w:p>
        </w:tc>
        <w:tc>
          <w:tcPr>
            <w:tcW w:w="1980" w:type="dxa"/>
            <w:vAlign w:val="center"/>
          </w:tcPr>
          <w:p w:rsidR="00225DDC" w:rsidRPr="00F8709B" w:rsidRDefault="00225DDC" w:rsidP="00F8709B">
            <w:pPr>
              <w:jc w:val="center"/>
              <w:rPr>
                <w:rFonts w:ascii="Arial" w:eastAsia="Times New Roman" w:hAnsi="Arial" w:cs="Arial"/>
                <w:b/>
                <w:sz w:val="20"/>
              </w:rPr>
            </w:pPr>
            <w:r w:rsidRPr="00F8709B">
              <w:rPr>
                <w:rFonts w:ascii="Arial" w:eastAsia="Times New Roman" w:hAnsi="Arial" w:cs="Arial"/>
                <w:b/>
                <w:sz w:val="20"/>
              </w:rPr>
              <w:t>2 or more</w:t>
            </w:r>
          </w:p>
        </w:tc>
      </w:tr>
      <w:tr w:rsidR="00225DDC" w:rsidRPr="00F8709B" w:rsidTr="00F8709B">
        <w:tc>
          <w:tcPr>
            <w:tcW w:w="2088" w:type="dxa"/>
            <w:vAlign w:val="center"/>
          </w:tcPr>
          <w:p w:rsidR="00225DDC" w:rsidRPr="00F8709B" w:rsidRDefault="00225DDC" w:rsidP="00F8709B">
            <w:pPr>
              <w:rPr>
                <w:rFonts w:ascii="Arial" w:eastAsia="Times New Roman" w:hAnsi="Arial" w:cs="Arial"/>
                <w:sz w:val="20"/>
              </w:rPr>
            </w:pPr>
            <w:r w:rsidRPr="00F8709B">
              <w:rPr>
                <w:rFonts w:ascii="Arial" w:eastAsia="Times New Roman" w:hAnsi="Arial" w:cs="Arial"/>
                <w:sz w:val="20"/>
              </w:rPr>
              <w:t>TIA(s), then stroke, then other TIA(s)</w:t>
            </w:r>
          </w:p>
        </w:tc>
        <w:tc>
          <w:tcPr>
            <w:tcW w:w="1980" w:type="dxa"/>
            <w:vAlign w:val="center"/>
          </w:tcPr>
          <w:p w:rsidR="00225DDC" w:rsidRPr="00F8709B" w:rsidRDefault="00225DDC" w:rsidP="00F8709B">
            <w:pPr>
              <w:jc w:val="center"/>
              <w:rPr>
                <w:rFonts w:ascii="Arial" w:eastAsia="Times New Roman" w:hAnsi="Arial" w:cs="Arial"/>
                <w:b/>
                <w:sz w:val="20"/>
              </w:rPr>
            </w:pPr>
            <w:r w:rsidRPr="00F8709B">
              <w:rPr>
                <w:rFonts w:ascii="Arial" w:eastAsia="Times New Roman" w:hAnsi="Arial" w:cs="Arial"/>
                <w:b/>
                <w:sz w:val="20"/>
              </w:rPr>
              <w:t>3</w:t>
            </w:r>
          </w:p>
        </w:tc>
      </w:tr>
    </w:tbl>
    <w:p w:rsidR="00225DDC" w:rsidRPr="00F560D9" w:rsidRDefault="00EF0F7F" w:rsidP="00225DDC">
      <w:r>
        <w:rPr>
          <w:noProof/>
        </w:rPr>
        <w:pict>
          <v:rect id="_x0000_s1175" style="position:absolute;margin-left:66.6pt;margin-top:4.6pt;width:153pt;height:364.5pt;z-index:251654656;mso-position-horizontal-relative:text;mso-position-vertical-relative:text">
            <v:textbox style="mso-next-textbox:#_x0000_s1175">
              <w:txbxContent>
                <w:p w:rsidR="00D07840" w:rsidRPr="00D2155F" w:rsidRDefault="00DC051C" w:rsidP="00225DDC">
                  <w:pPr>
                    <w:rPr>
                      <w:rFonts w:ascii="Arial" w:hAnsi="Arial"/>
                      <w:sz w:val="20"/>
                    </w:rPr>
                  </w:pPr>
                  <w:r w:rsidRPr="00D2155F">
                    <w:rPr>
                      <w:rFonts w:ascii="Arial" w:hAnsi="Arial"/>
                      <w:b/>
                      <w:sz w:val="20"/>
                    </w:rPr>
                    <w:t>Single</w:t>
                  </w:r>
                  <w:r w:rsidRPr="00D2155F">
                    <w:rPr>
                      <w:rFonts w:ascii="Arial" w:hAnsi="Arial"/>
                      <w:sz w:val="20"/>
                    </w:rPr>
                    <w:t xml:space="preserve"> investigation for </w:t>
                  </w:r>
                  <w:r w:rsidRPr="00D2155F">
                    <w:rPr>
                      <w:rFonts w:ascii="Arial" w:hAnsi="Arial"/>
                      <w:sz w:val="20"/>
                      <w:u w:val="single"/>
                    </w:rPr>
                    <w:t>each</w:t>
                  </w:r>
                  <w:r w:rsidRPr="00D2155F">
                    <w:rPr>
                      <w:rFonts w:ascii="Arial" w:hAnsi="Arial"/>
                      <w:sz w:val="20"/>
                    </w:rPr>
                    <w:t xml:space="preserve"> hospitalization</w:t>
                  </w:r>
                  <w:r w:rsidR="00D07840" w:rsidRPr="00D2155F">
                    <w:rPr>
                      <w:rFonts w:ascii="Arial" w:hAnsi="Arial"/>
                      <w:sz w:val="20"/>
                    </w:rPr>
                    <w:t>, INCLUDING:</w:t>
                  </w:r>
                  <w:r w:rsidRPr="00D2155F">
                    <w:rPr>
                      <w:rFonts w:ascii="Arial" w:hAnsi="Arial"/>
                      <w:sz w:val="20"/>
                    </w:rPr>
                    <w:t xml:space="preserve"> </w:t>
                  </w:r>
                </w:p>
                <w:p w:rsidR="00FB437D" w:rsidRPr="00D2155F" w:rsidRDefault="00D07840" w:rsidP="00225DDC">
                  <w:pPr>
                    <w:rPr>
                      <w:rFonts w:ascii="Arial" w:hAnsi="Arial"/>
                      <w:sz w:val="20"/>
                    </w:rPr>
                  </w:pPr>
                  <w:r w:rsidRPr="00D2155F">
                    <w:rPr>
                      <w:rFonts w:ascii="Arial" w:hAnsi="Arial"/>
                      <w:sz w:val="20"/>
                    </w:rPr>
                    <w:t xml:space="preserve">Overnight </w:t>
                  </w:r>
                  <w:r w:rsidR="00DC051C" w:rsidRPr="00D2155F">
                    <w:rPr>
                      <w:rFonts w:ascii="Arial" w:hAnsi="Arial"/>
                      <w:sz w:val="20"/>
                    </w:rPr>
                    <w:t>hospital admission results in transfer</w:t>
                  </w:r>
                  <w:r w:rsidRPr="00D2155F">
                    <w:rPr>
                      <w:rFonts w:ascii="Arial" w:hAnsi="Arial"/>
                      <w:sz w:val="20"/>
                    </w:rPr>
                    <w:t xml:space="preserve"> to second hospital for eligible procedure or overnight admission</w:t>
                  </w:r>
                  <w:r w:rsidR="00587B23" w:rsidRPr="00D2155F">
                    <w:rPr>
                      <w:rFonts w:ascii="Arial" w:hAnsi="Arial"/>
                      <w:sz w:val="20"/>
                    </w:rPr>
                    <w:t>;</w:t>
                  </w:r>
                </w:p>
                <w:p w:rsidR="00D07840" w:rsidRPr="00D2155F" w:rsidRDefault="00D07840" w:rsidP="00225DDC">
                  <w:pPr>
                    <w:rPr>
                      <w:rFonts w:ascii="Arial" w:hAnsi="Arial"/>
                      <w:sz w:val="20"/>
                    </w:rPr>
                  </w:pPr>
                  <w:r w:rsidRPr="00D2155F">
                    <w:rPr>
                      <w:rFonts w:ascii="Arial" w:hAnsi="Arial"/>
                      <w:sz w:val="20"/>
                    </w:rPr>
                    <w:t>Hospitalization results in transfer to in-patient hospice care or rehab ending in death</w:t>
                  </w:r>
                  <w:r w:rsidR="00587B23" w:rsidRPr="00D2155F">
                    <w:rPr>
                      <w:rFonts w:ascii="Arial" w:hAnsi="Arial"/>
                      <w:sz w:val="20"/>
                    </w:rPr>
                    <w:t>;</w:t>
                  </w:r>
                  <w:r w:rsidRPr="00D2155F">
                    <w:rPr>
                      <w:rFonts w:ascii="Arial" w:hAnsi="Arial"/>
                      <w:sz w:val="20"/>
                    </w:rPr>
                    <w:t xml:space="preserve"> </w:t>
                  </w:r>
                </w:p>
                <w:p w:rsidR="00D07840" w:rsidRPr="00D2155F" w:rsidRDefault="00D07840" w:rsidP="00225DDC">
                  <w:pPr>
                    <w:rPr>
                      <w:rFonts w:ascii="Arial" w:hAnsi="Arial"/>
                      <w:sz w:val="20"/>
                    </w:rPr>
                  </w:pPr>
                  <w:r w:rsidRPr="00D2155F">
                    <w:rPr>
                      <w:rFonts w:ascii="Arial" w:hAnsi="Arial"/>
                      <w:sz w:val="20"/>
                    </w:rPr>
                    <w:t>Hospitalization results in discharge to home, care facility, out-patient hospice care or rehab with readmission to acute care in short period of time</w:t>
                  </w:r>
                  <w:r w:rsidR="00587B23" w:rsidRPr="00D2155F">
                    <w:rPr>
                      <w:rFonts w:ascii="Arial" w:hAnsi="Arial"/>
                      <w:sz w:val="20"/>
                    </w:rPr>
                    <w:t>;</w:t>
                  </w:r>
                </w:p>
                <w:p w:rsidR="00D07840" w:rsidRPr="00D2155F" w:rsidRDefault="00D07840" w:rsidP="00225DDC">
                  <w:pPr>
                    <w:rPr>
                      <w:rFonts w:ascii="Arial" w:hAnsi="Arial"/>
                      <w:sz w:val="20"/>
                    </w:rPr>
                  </w:pPr>
                  <w:r w:rsidRPr="00D2155F">
                    <w:rPr>
                      <w:rFonts w:ascii="Arial" w:hAnsi="Arial"/>
                      <w:sz w:val="20"/>
                    </w:rPr>
                    <w:t>Multiple cardiac/PVD events occur during the same hospitalization</w:t>
                  </w:r>
                  <w:r w:rsidR="00587B23" w:rsidRPr="00D2155F">
                    <w:rPr>
                      <w:rFonts w:ascii="Arial" w:hAnsi="Arial"/>
                      <w:sz w:val="20"/>
                    </w:rPr>
                    <w:t>;</w:t>
                  </w:r>
                </w:p>
                <w:p w:rsidR="00D07840" w:rsidRPr="00D2155F" w:rsidRDefault="00D07840" w:rsidP="00587B23">
                  <w:pPr>
                    <w:pStyle w:val="NoSpacing"/>
                    <w:rPr>
                      <w:rFonts w:ascii="Arial" w:hAnsi="Arial" w:cs="Arial"/>
                      <w:sz w:val="20"/>
                    </w:rPr>
                  </w:pPr>
                  <w:r w:rsidRPr="00D2155F">
                    <w:rPr>
                      <w:rFonts w:ascii="Arial" w:hAnsi="Arial" w:cs="Arial"/>
                      <w:sz w:val="20"/>
                    </w:rPr>
                    <w:t>Multiple hospitalizations, procedures, or clinic visits for cardiac/PVD</w:t>
                  </w:r>
                  <w:r w:rsidR="00587B23" w:rsidRPr="00D2155F">
                    <w:rPr>
                      <w:rFonts w:ascii="Arial" w:hAnsi="Arial" w:cs="Arial"/>
                      <w:sz w:val="20"/>
                    </w:rPr>
                    <w:t>-eligible events may be linked for reviewers if occurring within a short span of time.</w:t>
                  </w:r>
                </w:p>
                <w:p w:rsidR="00587B23" w:rsidRPr="00D2155F" w:rsidRDefault="00587B23" w:rsidP="00587B23">
                  <w:pPr>
                    <w:pStyle w:val="NoSpacing"/>
                    <w:rPr>
                      <w:rFonts w:ascii="Arial" w:hAnsi="Arial" w:cs="Arial"/>
                      <w:sz w:val="20"/>
                    </w:rPr>
                  </w:pPr>
                </w:p>
                <w:p w:rsidR="00587B23" w:rsidRPr="00D2155F" w:rsidRDefault="00587B23" w:rsidP="00587B23">
                  <w:pPr>
                    <w:pStyle w:val="NoSpacing"/>
                    <w:rPr>
                      <w:rFonts w:ascii="Arial" w:hAnsi="Arial" w:cs="Arial"/>
                      <w:b/>
                      <w:sz w:val="20"/>
                    </w:rPr>
                  </w:pPr>
                  <w:r w:rsidRPr="00D2155F">
                    <w:rPr>
                      <w:rFonts w:ascii="Arial" w:hAnsi="Arial" w:cs="Arial"/>
                      <w:b/>
                      <w:sz w:val="20"/>
                    </w:rPr>
                    <w:t>Consult the Central Abstractor or CC when in doubt.</w:t>
                  </w:r>
                </w:p>
              </w:txbxContent>
            </v:textbox>
          </v:rect>
        </w:pict>
      </w:r>
      <w:r w:rsidR="00225DDC" w:rsidRPr="00F560D9">
        <w:rPr>
          <w:rFonts w:ascii="Arial" w:hAnsi="Arial" w:cs="Arial"/>
          <w:b/>
        </w:rPr>
        <w:t>COUNT</w:t>
      </w:r>
    </w:p>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Pr>
        <w:rPr>
          <w:rFonts w:ascii="Arial" w:hAnsi="Arial"/>
          <w:sz w:val="20"/>
        </w:rPr>
      </w:pPr>
    </w:p>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F560D9" w:rsidRDefault="00225DDC" w:rsidP="00225DDC"/>
    <w:p w:rsidR="00225DDC" w:rsidRPr="001F2C8A" w:rsidRDefault="00422242" w:rsidP="00D2155F">
      <w:pPr>
        <w:rPr>
          <w:strike/>
          <w:color w:val="FF0000"/>
        </w:rPr>
      </w:pPr>
      <w:r>
        <w:t>If</w:t>
      </w:r>
      <w:r w:rsidR="00225DDC" w:rsidRPr="00F560D9">
        <w:t xml:space="preserve">, in the process of researching or abstracting an investigation, you determine that the event needs to be split into multiple investigations, initiate a new investigation by </w:t>
      </w:r>
      <w:r w:rsidR="008A56FB" w:rsidRPr="00D2155F">
        <w:t>e</w:t>
      </w:r>
      <w:r w:rsidR="001F2C8A" w:rsidRPr="00D2155F">
        <w:t>ntering</w:t>
      </w:r>
      <w:r w:rsidR="00225DDC" w:rsidRPr="00D2155F">
        <w:t xml:space="preserve"> a new Initial Notification</w:t>
      </w:r>
      <w:r w:rsidR="001F2C8A" w:rsidRPr="00D2155F">
        <w:t xml:space="preserve"> into the Events EDC</w:t>
      </w:r>
      <w:r w:rsidR="00225DDC" w:rsidRPr="00D2155F">
        <w:t xml:space="preserve">. </w:t>
      </w:r>
      <w:r w:rsidR="00225DDC" w:rsidRPr="00D2155F">
        <w:br/>
      </w:r>
    </w:p>
    <w:p w:rsidR="00FB437D" w:rsidRPr="00F560D9" w:rsidRDefault="00FB437D">
      <w:pPr>
        <w:pStyle w:val="Heading3"/>
      </w:pPr>
      <w:bookmarkStart w:id="23" w:name="_Toc524842526"/>
      <w:bookmarkStart w:id="24" w:name="_Toc524842921"/>
      <w:bookmarkStart w:id="25" w:name="_Toc524843391"/>
      <w:bookmarkStart w:id="26" w:name="_Toc524843637"/>
      <w:bookmarkStart w:id="27" w:name="_Toc524850261"/>
      <w:bookmarkStart w:id="28" w:name="_Toc524850771"/>
      <w:bookmarkStart w:id="29" w:name="_Toc524851055"/>
      <w:bookmarkStart w:id="30" w:name="_Toc524939312"/>
      <w:bookmarkStart w:id="31" w:name="_Toc524939384"/>
      <w:bookmarkStart w:id="32" w:name="_Toc524939481"/>
      <w:bookmarkStart w:id="33" w:name="_Toc524943105"/>
      <w:bookmarkStart w:id="34" w:name="_Toc525025288"/>
      <w:bookmarkStart w:id="35" w:name="_Toc526909521"/>
      <w:bookmarkStart w:id="36" w:name="_Toc526909657"/>
      <w:bookmarkStart w:id="37" w:name="_Toc528031228"/>
      <w:bookmarkStart w:id="38" w:name="_Toc17883266"/>
      <w:r w:rsidRPr="00F560D9">
        <w:lastRenderedPageBreak/>
        <w:t>D.2.2</w:t>
      </w:r>
      <w:r w:rsidRPr="00F560D9">
        <w:tab/>
        <w:t>Item-by-Item Instructions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FB437D" w:rsidRPr="00F560D9" w:rsidRDefault="00FB437D">
      <w:pPr>
        <w:pStyle w:val="Heading5"/>
      </w:pPr>
      <w:bookmarkStart w:id="39" w:name="_Toc524842527"/>
      <w:bookmarkStart w:id="40" w:name="_Toc524842922"/>
      <w:bookmarkStart w:id="41" w:name="_Toc524843392"/>
      <w:bookmarkStart w:id="42" w:name="_Toc524843638"/>
      <w:bookmarkStart w:id="43" w:name="_Toc524850262"/>
      <w:bookmarkStart w:id="44" w:name="_Toc524850772"/>
      <w:bookmarkStart w:id="45" w:name="_Toc524851056"/>
      <w:bookmarkStart w:id="46" w:name="_Toc524939313"/>
      <w:bookmarkStart w:id="47" w:name="_Toc524939385"/>
      <w:bookmarkStart w:id="48" w:name="_Toc524939482"/>
      <w:bookmarkStart w:id="49" w:name="_Toc524943106"/>
      <w:bookmarkStart w:id="50" w:name="_Toc525025289"/>
      <w:bookmarkStart w:id="51" w:name="_Toc526909522"/>
      <w:bookmarkStart w:id="52" w:name="_Toc526909658"/>
      <w:bookmarkStart w:id="53" w:name="_Toc528031229"/>
      <w:r w:rsidRPr="00F560D9">
        <w:t>Inve</w:t>
      </w:r>
      <w:r w:rsidRPr="00F560D9">
        <w:rPr>
          <w:rStyle w:val="Heading5Char"/>
        </w:rPr>
        <w:t>s</w:t>
      </w:r>
      <w:r w:rsidRPr="00F560D9">
        <w:t>tigation ID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FB437D" w:rsidRPr="00F560D9" w:rsidRDefault="00FB437D">
      <w:pPr>
        <w:pStyle w:val="BodyText"/>
        <w:spacing w:after="240"/>
        <w:rPr>
          <w:iCs/>
        </w:rPr>
      </w:pPr>
      <w:r w:rsidRPr="00F560D9">
        <w:rPr>
          <w:iCs/>
        </w:rPr>
        <w:t>The Investigation ID is automatically assigned and pre</w:t>
      </w:r>
      <w:r w:rsidR="003739D2" w:rsidRPr="00D2155F">
        <w:rPr>
          <w:iCs/>
        </w:rPr>
        <w:t>-entered</w:t>
      </w:r>
      <w:r w:rsidRPr="00D2155F">
        <w:rPr>
          <w:iCs/>
        </w:rPr>
        <w:t xml:space="preserve"> on the </w:t>
      </w:r>
      <w:r w:rsidR="00E459FA" w:rsidRPr="00D2155F">
        <w:rPr>
          <w:iCs/>
        </w:rPr>
        <w:t>EDC</w:t>
      </w:r>
      <w:r w:rsidR="00E459FA">
        <w:rPr>
          <w:iCs/>
          <w:color w:val="FF0000"/>
        </w:rPr>
        <w:t xml:space="preserve"> </w:t>
      </w:r>
      <w:r w:rsidRPr="00F560D9">
        <w:rPr>
          <w:iCs/>
        </w:rPr>
        <w:t xml:space="preserve">form when an </w:t>
      </w:r>
      <w:r w:rsidRPr="00F560D9">
        <w:rPr>
          <w:rStyle w:val="StyleBodyTextItalicChar"/>
          <w:i/>
        </w:rPr>
        <w:t>Initial Notification of Potential Event/Death</w:t>
      </w:r>
      <w:r w:rsidRPr="00F560D9">
        <w:rPr>
          <w:iCs/>
        </w:rPr>
        <w:t xml:space="preserve"> form is generated. The software will not allow the same Investigation ID to print on another </w:t>
      </w:r>
      <w:r w:rsidR="00E459FA" w:rsidRPr="00D2155F">
        <w:rPr>
          <w:iCs/>
        </w:rPr>
        <w:t>event</w:t>
      </w:r>
      <w:r w:rsidRPr="00D2155F">
        <w:rPr>
          <w:iCs/>
        </w:rPr>
        <w:t xml:space="preserve">. </w:t>
      </w:r>
      <w:r w:rsidR="00E459FA" w:rsidRPr="00D2155F">
        <w:rPr>
          <w:iCs/>
        </w:rPr>
        <w:t>If the form was initiated in error, contact the Coordinating Center to remove the form from the EDC.</w:t>
      </w:r>
      <w:r w:rsidR="00E459FA" w:rsidRPr="003739D2">
        <w:rPr>
          <w:iCs/>
          <w:color w:val="FF0000"/>
        </w:rPr>
        <w:t xml:space="preserve"> </w:t>
      </w:r>
      <w:r w:rsidRPr="00F560D9">
        <w:rPr>
          <w:iCs/>
        </w:rPr>
        <w:t>Investigation ID’s must be unique for each investigation; they do not need to be consecutive. Initial Notification forms may be deleted out of the database under certain circumstances. That Investigation ID will not be used again.</w:t>
      </w:r>
    </w:p>
    <w:p w:rsidR="00FB437D" w:rsidRPr="00F560D9" w:rsidRDefault="00FB437D">
      <w:pPr>
        <w:pStyle w:val="Heading5"/>
      </w:pPr>
      <w:bookmarkStart w:id="54" w:name="_Toc524842528"/>
      <w:bookmarkStart w:id="55" w:name="_Toc524842923"/>
      <w:bookmarkStart w:id="56" w:name="_Toc524843393"/>
      <w:bookmarkStart w:id="57" w:name="_Toc524843639"/>
      <w:bookmarkStart w:id="58" w:name="_Toc524850263"/>
      <w:bookmarkStart w:id="59" w:name="_Toc524850773"/>
      <w:bookmarkStart w:id="60" w:name="_Toc524851057"/>
      <w:bookmarkStart w:id="61" w:name="_Toc524939314"/>
      <w:bookmarkStart w:id="62" w:name="_Toc524939386"/>
      <w:bookmarkStart w:id="63" w:name="_Toc524939483"/>
      <w:bookmarkStart w:id="64" w:name="_Toc524943107"/>
      <w:bookmarkStart w:id="65" w:name="_Toc525025290"/>
      <w:bookmarkStart w:id="66" w:name="_Toc526909523"/>
      <w:bookmarkStart w:id="67" w:name="_Toc526909659"/>
      <w:bookmarkStart w:id="68" w:name="_Toc528031230"/>
      <w:r w:rsidRPr="00F560D9">
        <w:t>(Question 1)</w:t>
      </w:r>
      <w:r w:rsidRPr="00F560D9">
        <w:tab/>
        <w:t>Dat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560D9">
        <w:t>e</w:t>
      </w:r>
    </w:p>
    <w:p w:rsidR="00FB437D" w:rsidRPr="00F560D9" w:rsidRDefault="00FB437D">
      <w:r w:rsidRPr="00F560D9">
        <w:t>Record the date of the potential event from currently available information:</w:t>
      </w:r>
    </w:p>
    <w:p w:rsidR="00FB437D" w:rsidRDefault="00FB437D">
      <w:pPr>
        <w:pStyle w:val="BodyText"/>
        <w:tabs>
          <w:tab w:val="left" w:pos="1080"/>
        </w:tabs>
        <w:rPr>
          <w:rStyle w:val="StyleBodyTextItalicChar"/>
        </w:rPr>
      </w:pPr>
      <w:r w:rsidRPr="00F560D9">
        <w:rPr>
          <w:rStyle w:val="StyleBodyTextItalicChar"/>
        </w:rPr>
        <w:t xml:space="preserve">If abstracting information from the </w:t>
      </w:r>
      <w:r w:rsidRPr="00F560D9">
        <w:rPr>
          <w:i/>
        </w:rPr>
        <w:t>Follow-Up Phone Call</w:t>
      </w:r>
      <w:r w:rsidRPr="00F560D9">
        <w:t xml:space="preserve"> </w:t>
      </w:r>
      <w:r w:rsidRPr="00F560D9">
        <w:rPr>
          <w:rStyle w:val="StyleBodyTextItalicChar"/>
        </w:rPr>
        <w:t xml:space="preserve">forms, enter the date of hospitalization, physician/clinic visit, or procedure as it is recorded in Item B or D of the </w:t>
      </w:r>
      <w:r w:rsidRPr="00F560D9">
        <w:rPr>
          <w:i/>
        </w:rPr>
        <w:t>Specific Medical Conditions</w:t>
      </w:r>
      <w:r w:rsidRPr="00F560D9">
        <w:rPr>
          <w:rStyle w:val="StyleBodyTextItalicChar"/>
        </w:rPr>
        <w:t xml:space="preserve"> form, Item 1 or 2 of the </w:t>
      </w:r>
      <w:r w:rsidRPr="00F560D9">
        <w:rPr>
          <w:i/>
        </w:rPr>
        <w:t>Other Admissions</w:t>
      </w:r>
      <w:r w:rsidRPr="00F560D9">
        <w:rPr>
          <w:rStyle w:val="StyleBodyTextItalicChar"/>
          <w:i/>
        </w:rPr>
        <w:t xml:space="preserve"> form</w:t>
      </w:r>
      <w:r w:rsidRPr="00F560D9">
        <w:rPr>
          <w:rStyle w:val="StyleBodyTextItalicChar"/>
        </w:rPr>
        <w:t xml:space="preserve">, or Item A or B of the </w:t>
      </w:r>
      <w:r w:rsidRPr="00F560D9">
        <w:rPr>
          <w:i/>
        </w:rPr>
        <w:t>Specific Medical Procedures</w:t>
      </w:r>
      <w:r w:rsidRPr="00F560D9">
        <w:rPr>
          <w:rStyle w:val="StyleBodyTextItalicChar"/>
        </w:rPr>
        <w:t xml:space="preserve"> form.  Making sure the date on the </w:t>
      </w:r>
      <w:r w:rsidRPr="00F560D9">
        <w:rPr>
          <w:rStyle w:val="StyleBodyTextItalicChar"/>
          <w:i/>
          <w:iCs w:val="0"/>
        </w:rPr>
        <w:t>Initial</w:t>
      </w:r>
      <w:r w:rsidRPr="00F560D9">
        <w:rPr>
          <w:rStyle w:val="StyleBodyTextItalicChar"/>
        </w:rPr>
        <w:t xml:space="preserve"> matches the date on the </w:t>
      </w:r>
      <w:r w:rsidRPr="00F560D9">
        <w:rPr>
          <w:rStyle w:val="StyleBodyTextItalicChar"/>
          <w:i/>
          <w:iCs w:val="0"/>
        </w:rPr>
        <w:t>Follow-Up Phone Call</w:t>
      </w:r>
      <w:r w:rsidRPr="00F560D9">
        <w:rPr>
          <w:rStyle w:val="StyleBodyTextItalicChar"/>
        </w:rPr>
        <w:t xml:space="preserve"> form greatly reduces errors in tracking whether all eligible follow-ups have results in the initiation of an investigation.  (Corrections can be made through the Events software, but matching dates right the first time should be your goal.)</w:t>
      </w:r>
    </w:p>
    <w:p w:rsidR="00D2155F" w:rsidRDefault="00D2155F">
      <w:pPr>
        <w:pStyle w:val="BodyText"/>
        <w:tabs>
          <w:tab w:val="left" w:pos="1080"/>
        </w:tabs>
        <w:rPr>
          <w:rStyle w:val="StyleBodyTextItalicChar"/>
        </w:rPr>
      </w:pPr>
    </w:p>
    <w:p w:rsidR="00F9151E" w:rsidRPr="00687C4C" w:rsidRDefault="00EF0F7F" w:rsidP="00F9151E">
      <w:pPr>
        <w:pStyle w:val="BulletQuestion"/>
        <w:numPr>
          <w:ilvl w:val="0"/>
          <w:numId w:val="0"/>
        </w:numPr>
        <w:ind w:left="990"/>
        <w:rPr>
          <w:rFonts w:ascii="Arial" w:hAnsi="Arial" w:cs="Arial"/>
          <w:b w:val="0"/>
          <w:sz w:val="20"/>
        </w:rPr>
      </w:pPr>
      <w:r>
        <w:rPr>
          <w:iCs/>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87" type="#_x0000_t72" style="position:absolute;left:0;text-align:left;margin-left:18.75pt;margin-top:-.1pt;width:17.25pt;height:29.25pt;z-index:251662848"/>
        </w:pict>
      </w:r>
      <w:r w:rsidR="00F9151E">
        <w:rPr>
          <w:rFonts w:ascii="Arial" w:hAnsi="Arial" w:cs="Arial"/>
          <w:b w:val="0"/>
          <w:sz w:val="20"/>
        </w:rPr>
        <w:t>NOTE</w:t>
      </w:r>
      <w:r w:rsidR="00F9151E" w:rsidRPr="00687C4C">
        <w:rPr>
          <w:rFonts w:ascii="Arial" w:hAnsi="Arial" w:cs="Arial"/>
          <w:b w:val="0"/>
          <w:sz w:val="20"/>
        </w:rPr>
        <w:t xml:space="preserve">: </w:t>
      </w:r>
      <w:r w:rsidR="00F9151E">
        <w:rPr>
          <w:rFonts w:ascii="Arial" w:hAnsi="Arial" w:cs="Arial"/>
          <w:b w:val="0"/>
          <w:sz w:val="20"/>
        </w:rPr>
        <w:t xml:space="preserve">If during the investigation process it is discovered that any dates are incorrect, do not go back and change the form.  The correct dates will be recorded on the </w:t>
      </w:r>
      <w:r w:rsidR="00F9151E">
        <w:rPr>
          <w:rFonts w:ascii="Arial" w:hAnsi="Arial" w:cs="Arial"/>
          <w:b w:val="0"/>
          <w:i/>
          <w:sz w:val="20"/>
        </w:rPr>
        <w:t>Final Form.</w:t>
      </w:r>
      <w:r w:rsidR="00F9151E">
        <w:rPr>
          <w:rFonts w:ascii="Arial" w:hAnsi="Arial" w:cs="Arial"/>
          <w:b w:val="0"/>
          <w:sz w:val="20"/>
        </w:rPr>
        <w:t xml:space="preserve">  Edits are allowed for typographic errors (ie: recording 2010 instead of 2012).</w:t>
      </w:r>
    </w:p>
    <w:p w:rsidR="004941CB" w:rsidRDefault="004941CB">
      <w:pPr>
        <w:pStyle w:val="BodyText"/>
        <w:tabs>
          <w:tab w:val="left" w:pos="1080"/>
        </w:tabs>
        <w:rPr>
          <w:rStyle w:val="StyleBodyTextItalicChar"/>
        </w:rPr>
      </w:pPr>
    </w:p>
    <w:p w:rsidR="00FB437D" w:rsidRPr="00F560D9" w:rsidRDefault="00D2155F">
      <w:pPr>
        <w:pStyle w:val="BodyText"/>
        <w:tabs>
          <w:tab w:val="left" w:pos="1080"/>
        </w:tabs>
        <w:rPr>
          <w:rStyle w:val="StyleBodyTextItalicChar"/>
        </w:rPr>
      </w:pPr>
      <w:r>
        <w:rPr>
          <w:rStyle w:val="StyleBodyTextItalicChar"/>
        </w:rPr>
        <w:t>T</w:t>
      </w:r>
      <w:r w:rsidR="00FB437D" w:rsidRPr="00F560D9">
        <w:rPr>
          <w:rStyle w:val="StyleBodyTextItalicChar"/>
        </w:rPr>
        <w:t>he order of priority for dates is as follows:</w:t>
      </w:r>
    </w:p>
    <w:p w:rsidR="00FB437D" w:rsidRPr="00F560D9" w:rsidRDefault="00FB437D" w:rsidP="00422242">
      <w:pPr>
        <w:pStyle w:val="Bullet1"/>
        <w:spacing w:after="0"/>
        <w:rPr>
          <w:rStyle w:val="StyleBodyTextItalicChar"/>
          <w:iCs w:val="0"/>
        </w:rPr>
      </w:pPr>
      <w:r w:rsidRPr="00F560D9">
        <w:rPr>
          <w:rStyle w:val="StyleBodyTextItalicChar"/>
          <w:iCs w:val="0"/>
        </w:rPr>
        <w:t>Date of Death</w:t>
      </w:r>
    </w:p>
    <w:p w:rsidR="00FB437D" w:rsidRPr="00F560D9" w:rsidRDefault="00FB437D" w:rsidP="00422242">
      <w:pPr>
        <w:pStyle w:val="Bullet1"/>
        <w:spacing w:after="0"/>
        <w:rPr>
          <w:rStyle w:val="StyleBodyTextItalicChar"/>
          <w:iCs w:val="0"/>
        </w:rPr>
      </w:pPr>
      <w:r w:rsidRPr="00F560D9">
        <w:rPr>
          <w:rStyle w:val="StyleBodyTextItalicChar"/>
          <w:iCs w:val="0"/>
        </w:rPr>
        <w:t>Date of Hospital Admission</w:t>
      </w:r>
    </w:p>
    <w:p w:rsidR="00FB437D" w:rsidRPr="00F560D9" w:rsidRDefault="00E459FA" w:rsidP="00422242">
      <w:pPr>
        <w:pStyle w:val="Bullet1"/>
        <w:spacing w:after="0"/>
        <w:rPr>
          <w:rStyle w:val="StyleBodyTextItalicChar"/>
          <w:iCs w:val="0"/>
        </w:rPr>
      </w:pPr>
      <w:r>
        <w:rPr>
          <w:rStyle w:val="StyleBodyTextItalicChar"/>
          <w:iCs w:val="0"/>
        </w:rPr>
        <w:t xml:space="preserve">Date of </w:t>
      </w:r>
      <w:r w:rsidRPr="00D2155F">
        <w:rPr>
          <w:rStyle w:val="StyleBodyTextItalicChar"/>
          <w:iCs w:val="0"/>
        </w:rPr>
        <w:t>Clinic V</w:t>
      </w:r>
      <w:r w:rsidR="00FB437D" w:rsidRPr="00D2155F">
        <w:rPr>
          <w:rStyle w:val="StyleBodyTextItalicChar"/>
          <w:iCs w:val="0"/>
        </w:rPr>
        <w:t>isit</w:t>
      </w:r>
    </w:p>
    <w:p w:rsidR="00FB437D" w:rsidRDefault="00FB437D" w:rsidP="00422242">
      <w:pPr>
        <w:pStyle w:val="Bullet1"/>
        <w:spacing w:after="0"/>
        <w:rPr>
          <w:rStyle w:val="StyleBodyTextItalicChar"/>
          <w:iCs w:val="0"/>
        </w:rPr>
      </w:pPr>
      <w:r w:rsidRPr="00F560D9">
        <w:rPr>
          <w:rStyle w:val="StyleBodyTextItalicChar"/>
          <w:iCs w:val="0"/>
        </w:rPr>
        <w:t>Date of Procedure</w:t>
      </w:r>
    </w:p>
    <w:p w:rsidR="00422242" w:rsidRPr="00F560D9" w:rsidRDefault="00422242" w:rsidP="00422242">
      <w:pPr>
        <w:pStyle w:val="Bullet1"/>
        <w:numPr>
          <w:ilvl w:val="0"/>
          <w:numId w:val="0"/>
        </w:numPr>
        <w:spacing w:after="0"/>
        <w:ind w:left="648"/>
        <w:rPr>
          <w:rStyle w:val="StyleBodyTextItalicChar"/>
          <w:iCs w:val="0"/>
        </w:rPr>
      </w:pPr>
    </w:p>
    <w:p w:rsidR="00FB437D" w:rsidRPr="00F560D9" w:rsidRDefault="00FB437D" w:rsidP="00422242">
      <w:pPr>
        <w:pStyle w:val="BodyText"/>
        <w:tabs>
          <w:tab w:val="left" w:pos="1080"/>
        </w:tabs>
        <w:spacing w:after="0"/>
        <w:rPr>
          <w:rFonts w:ascii="Times" w:hAnsi="Times"/>
          <w:iCs/>
          <w:color w:val="000000"/>
        </w:rPr>
      </w:pPr>
      <w:r w:rsidRPr="00F560D9">
        <w:rPr>
          <w:rFonts w:ascii="Times" w:hAnsi="Times"/>
          <w:iCs/>
          <w:color w:val="000000"/>
        </w:rPr>
        <w:t xml:space="preserve">To use this priority ordering, start at the top of the list and see what is the first type of date that applies to this investigation. Use that date on the </w:t>
      </w:r>
      <w:r w:rsidRPr="00F560D9">
        <w:rPr>
          <w:rFonts w:ascii="Times" w:hAnsi="Times"/>
          <w:i/>
          <w:iCs/>
          <w:color w:val="000000"/>
        </w:rPr>
        <w:t>Initial Notification</w:t>
      </w:r>
      <w:r w:rsidRPr="00F560D9">
        <w:rPr>
          <w:rFonts w:ascii="Times" w:hAnsi="Times"/>
          <w:iCs/>
          <w:color w:val="000000"/>
        </w:rPr>
        <w:t>.</w:t>
      </w:r>
    </w:p>
    <w:p w:rsidR="00FB437D" w:rsidRPr="00F560D9" w:rsidRDefault="00FB437D">
      <w:pPr>
        <w:spacing w:after="240"/>
        <w:rPr>
          <w:rFonts w:ascii="Times" w:hAnsi="Times"/>
          <w:b/>
          <w:bCs/>
        </w:rPr>
      </w:pPr>
      <w:r w:rsidRPr="00F560D9">
        <w:t>If entering information on a potential event identified through other means, enter as specific a date as possible. At a minimum, obtain (or at least estimate) the mont</w:t>
      </w:r>
      <w:r w:rsidR="00CB0188">
        <w:t>h and year.  Record unknown day</w:t>
      </w:r>
      <w:r w:rsidRPr="00F560D9">
        <w:t xml:space="preserve"> as “15.” </w:t>
      </w:r>
      <w:r w:rsidR="00CB0188" w:rsidRPr="00D2155F">
        <w:t xml:space="preserve">Record unknown month as </w:t>
      </w:r>
      <w:r w:rsidR="00065116" w:rsidRPr="00D2155F">
        <w:t>“</w:t>
      </w:r>
      <w:r w:rsidR="00CB0188" w:rsidRPr="00D2155F">
        <w:t>6</w:t>
      </w:r>
      <w:r w:rsidR="00065116" w:rsidRPr="00D2155F">
        <w:t>”</w:t>
      </w:r>
      <w:r w:rsidR="00CB0188" w:rsidRPr="00D2155F">
        <w:t xml:space="preserve">. </w:t>
      </w:r>
      <w:r w:rsidR="00277D5A" w:rsidRPr="00D2155F">
        <w:t xml:space="preserve">Never leave any of the date fields blank. </w:t>
      </w:r>
      <w:r w:rsidRPr="00D2155F">
        <w:t>You will</w:t>
      </w:r>
      <w:r w:rsidR="00E459FA" w:rsidRPr="00D2155F">
        <w:t xml:space="preserve"> have the opportunity to change or </w:t>
      </w:r>
      <w:r w:rsidRPr="00D2155F">
        <w:t>make</w:t>
      </w:r>
      <w:r w:rsidRPr="00F560D9">
        <w:t xml:space="preserve"> the date more accurate on the </w:t>
      </w:r>
      <w:r w:rsidRPr="00F560D9">
        <w:rPr>
          <w:i/>
        </w:rPr>
        <w:t>Final Notification</w:t>
      </w:r>
      <w:r w:rsidRPr="00F560D9">
        <w:t>.</w:t>
      </w:r>
    </w:p>
    <w:p w:rsidR="00FB437D" w:rsidRPr="00F560D9" w:rsidRDefault="00D2155F">
      <w:pPr>
        <w:pStyle w:val="Heading5"/>
      </w:pPr>
      <w:bookmarkStart w:id="69" w:name="_Toc524842529"/>
      <w:bookmarkStart w:id="70" w:name="_Toc524842924"/>
      <w:bookmarkStart w:id="71" w:name="_Toc524843394"/>
      <w:bookmarkStart w:id="72" w:name="_Toc524843640"/>
      <w:bookmarkStart w:id="73" w:name="_Toc524850264"/>
      <w:bookmarkStart w:id="74" w:name="_Toc524850774"/>
      <w:bookmarkStart w:id="75" w:name="_Toc524851058"/>
      <w:bookmarkStart w:id="76" w:name="_Toc524939315"/>
      <w:bookmarkStart w:id="77" w:name="_Toc524939387"/>
      <w:bookmarkStart w:id="78" w:name="_Toc524939484"/>
      <w:bookmarkStart w:id="79" w:name="_Toc524943108"/>
      <w:bookmarkStart w:id="80" w:name="_Toc525025291"/>
      <w:bookmarkStart w:id="81" w:name="_Toc526909524"/>
      <w:bookmarkStart w:id="82" w:name="_Toc526909660"/>
      <w:bookmarkStart w:id="83" w:name="_Toc528031231"/>
      <w:r>
        <w:br w:type="page"/>
      </w:r>
      <w:r w:rsidR="00FB437D" w:rsidRPr="00F560D9">
        <w:lastRenderedPageBreak/>
        <w:t>(Question 2)</w:t>
      </w:r>
      <w:r w:rsidR="00FB437D" w:rsidRPr="00F560D9">
        <w:tab/>
        <w:t>Type of Event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B437D" w:rsidRPr="00F560D9" w:rsidRDefault="00FB437D">
      <w:r w:rsidRPr="00F560D9">
        <w:t>On the basis of currently available information, choose the type of event or events. If the participant has indicated that s/he has had more than one event which you have determined should be considered in this inves</w:t>
      </w:r>
      <w:r w:rsidR="00713AA7" w:rsidRPr="00F560D9">
        <w:t xml:space="preserve">tigation, check all that apply (the one exception is that you may </w:t>
      </w:r>
      <w:r w:rsidR="00713AA7" w:rsidRPr="00F560D9">
        <w:rPr>
          <w:u w:val="single"/>
        </w:rPr>
        <w:t>not</w:t>
      </w:r>
      <w:r w:rsidR="00713AA7" w:rsidRPr="00F560D9">
        <w:t xml:space="preserve"> check both “Unknown” and any other type of event).</w:t>
      </w:r>
    </w:p>
    <w:p w:rsidR="00FB437D" w:rsidRPr="00F560D9" w:rsidRDefault="00EF0F7F">
      <w:pPr>
        <w:pStyle w:val="BodyText"/>
        <w:spacing w:after="240"/>
        <w:ind w:left="720" w:right="540"/>
        <w:rPr>
          <w:rFonts w:ascii="Arial" w:hAnsi="Arial"/>
          <w:iCs/>
          <w:sz w:val="20"/>
        </w:rPr>
      </w:pPr>
      <w:r>
        <w:rPr>
          <w:iCs/>
          <w:noProof/>
          <w:sz w:val="20"/>
        </w:rPr>
        <w:pict>
          <v:shape id="_x0000_s1136" style="position:absolute;left:0;text-align:left;margin-left:18.3pt;margin-top:2.1pt;width:17.25pt;height:29.25pt;z-index:251653632;mso-position-horizontal:absolute;mso-position-horizontal-relative:text;mso-position-vertical:absolute;mso-position-vertical-relative:text" coordsize="20000,20000" path="m10609,4034l8986,1744,7942,5915,4174,3350r812,3898l1101,7658r2551,3077l,11932r3072,2290l1217,16513r3247,376l4580,20000,6957,16786r1101,1470l9159,16068r1566,1368l11304,14769r2551,1299l13565,13299r3942,1163l15188,11385r1740,-923l15710,8718,20000,6154,15188,6051,16696,2940,13449,5333,13681,,10609,4034xe" strokeweight="1pt">
            <v:path arrowok="t"/>
          </v:shape>
        </w:pict>
      </w:r>
      <w:r w:rsidR="00FB437D" w:rsidRPr="00F560D9">
        <w:rPr>
          <w:rFonts w:ascii="Arial" w:hAnsi="Arial"/>
          <w:iCs/>
          <w:sz w:val="20"/>
        </w:rPr>
        <w:t xml:space="preserve">Identifying the type of events included in an investigation is a </w:t>
      </w:r>
      <w:r w:rsidR="00FB437D" w:rsidRPr="00F560D9">
        <w:rPr>
          <w:rFonts w:ascii="Arial" w:hAnsi="Arial"/>
          <w:sz w:val="20"/>
        </w:rPr>
        <w:t xml:space="preserve">crucial </w:t>
      </w:r>
      <w:r w:rsidR="00FB437D" w:rsidRPr="00F560D9">
        <w:rPr>
          <w:rFonts w:ascii="Arial" w:hAnsi="Arial"/>
          <w:iCs/>
          <w:sz w:val="20"/>
        </w:rPr>
        <w:t>step, because it determines the type of event investigation to be undertaken. If in doubt, contact your Events Coordinator or a MESA Physician Reviewer. In general, if it sounds like a cardiovascular event, it should be place in one of the first types.</w:t>
      </w:r>
    </w:p>
    <w:p w:rsidR="00FB437D" w:rsidRPr="00F560D9" w:rsidRDefault="00FB437D">
      <w:pPr>
        <w:pStyle w:val="BodyText"/>
        <w:spacing w:after="240"/>
        <w:rPr>
          <w:rFonts w:ascii="Arial" w:hAnsi="Arial"/>
          <w:iCs/>
          <w:sz w:val="20"/>
        </w:rPr>
      </w:pPr>
      <w:r w:rsidRPr="00F560D9">
        <w:rPr>
          <w:rFonts w:ascii="Arial" w:hAnsi="Arial"/>
          <w:iCs/>
          <w:sz w:val="20"/>
        </w:rPr>
        <w:t>Table D.2 describes the different types of potential events.</w:t>
      </w:r>
    </w:p>
    <w:p w:rsidR="00FB437D" w:rsidRPr="00BF05A1" w:rsidRDefault="00FB437D">
      <w:pPr>
        <w:pStyle w:val="BodyText"/>
        <w:spacing w:after="240"/>
        <w:jc w:val="center"/>
        <w:rPr>
          <w:rFonts w:ascii="Arial" w:hAnsi="Arial"/>
          <w:iCs/>
          <w:color w:val="0070C0"/>
          <w:szCs w:val="24"/>
        </w:rPr>
      </w:pPr>
      <w:r w:rsidRPr="00F560D9">
        <w:rPr>
          <w:rFonts w:ascii="Arial" w:hAnsi="Arial"/>
          <w:b/>
          <w:iCs/>
          <w:szCs w:val="24"/>
        </w:rPr>
        <w:t>Table D.2</w:t>
      </w:r>
      <w:r w:rsidR="00BF05A1">
        <w:rPr>
          <w:rFonts w:ascii="Arial" w:hAnsi="Arial"/>
          <w:b/>
          <w:iCs/>
          <w:szCs w:val="24"/>
        </w:rPr>
        <w:t xml:space="preserve"> </w:t>
      </w:r>
    </w:p>
    <w:p w:rsidR="00FB437D" w:rsidRPr="00F560D9" w:rsidRDefault="00FB437D">
      <w:pPr>
        <w:spacing w:after="0"/>
        <w:rPr>
          <w:sz w:val="8"/>
          <w:szCs w:val="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6750"/>
      </w:tblGrid>
      <w:tr w:rsidR="00FB437D" w:rsidRPr="00F560D9" w:rsidTr="00422242">
        <w:trPr>
          <w:tblHeader/>
        </w:trPr>
        <w:tc>
          <w:tcPr>
            <w:tcW w:w="1890" w:type="dxa"/>
          </w:tcPr>
          <w:p w:rsidR="00FB437D" w:rsidRPr="00F560D9" w:rsidRDefault="00FB437D">
            <w:pPr>
              <w:pStyle w:val="BodyText"/>
              <w:spacing w:after="0" w:line="240" w:lineRule="exact"/>
              <w:jc w:val="center"/>
              <w:rPr>
                <w:b/>
                <w:iCs/>
                <w:sz w:val="22"/>
                <w:szCs w:val="22"/>
              </w:rPr>
            </w:pPr>
            <w:r w:rsidRPr="00F560D9">
              <w:rPr>
                <w:b/>
                <w:iCs/>
                <w:sz w:val="22"/>
                <w:szCs w:val="22"/>
              </w:rPr>
              <w:t>Type of Event</w:t>
            </w:r>
          </w:p>
        </w:tc>
        <w:tc>
          <w:tcPr>
            <w:tcW w:w="6750" w:type="dxa"/>
          </w:tcPr>
          <w:p w:rsidR="00FB437D" w:rsidRPr="00F560D9" w:rsidRDefault="00FB437D">
            <w:pPr>
              <w:pStyle w:val="BodyText"/>
              <w:spacing w:after="0" w:line="240" w:lineRule="exact"/>
              <w:jc w:val="center"/>
              <w:rPr>
                <w:b/>
                <w:iCs/>
                <w:sz w:val="22"/>
                <w:szCs w:val="22"/>
              </w:rPr>
            </w:pPr>
            <w:r w:rsidRPr="00F560D9">
              <w:rPr>
                <w:b/>
                <w:iCs/>
                <w:sz w:val="22"/>
                <w:szCs w:val="22"/>
              </w:rPr>
              <w:t>When to Use</w:t>
            </w:r>
          </w:p>
        </w:tc>
      </w:tr>
      <w:tr w:rsidR="00FB437D" w:rsidRPr="00F560D9" w:rsidTr="00422242">
        <w:trPr>
          <w:trHeight w:val="2730"/>
        </w:trPr>
        <w:tc>
          <w:tcPr>
            <w:tcW w:w="1890" w:type="dxa"/>
          </w:tcPr>
          <w:p w:rsidR="00FB437D" w:rsidRDefault="00FB437D">
            <w:pPr>
              <w:pStyle w:val="BodyText"/>
              <w:spacing w:after="40" w:line="240" w:lineRule="exact"/>
              <w:rPr>
                <w:sz w:val="22"/>
                <w:szCs w:val="22"/>
              </w:rPr>
            </w:pPr>
            <w:r w:rsidRPr="00F560D9">
              <w:rPr>
                <w:sz w:val="22"/>
                <w:szCs w:val="22"/>
              </w:rPr>
              <w:t>Hospitalized Cardiac/PVD Non-fatal</w:t>
            </w:r>
          </w:p>
          <w:p w:rsidR="00E459FA" w:rsidRDefault="00E459FA">
            <w:pPr>
              <w:pStyle w:val="BodyText"/>
              <w:spacing w:after="40" w:line="240" w:lineRule="exact"/>
              <w:rPr>
                <w:sz w:val="22"/>
                <w:szCs w:val="22"/>
              </w:rPr>
            </w:pPr>
          </w:p>
          <w:p w:rsidR="00E459FA" w:rsidRPr="00E459FA" w:rsidRDefault="00E459FA">
            <w:pPr>
              <w:pStyle w:val="BodyText"/>
              <w:spacing w:after="40" w:line="240" w:lineRule="exact"/>
              <w:rPr>
                <w:color w:val="0070C0"/>
                <w:sz w:val="22"/>
                <w:szCs w:val="22"/>
              </w:rPr>
            </w:pPr>
          </w:p>
        </w:tc>
        <w:tc>
          <w:tcPr>
            <w:tcW w:w="6750" w:type="dxa"/>
          </w:tcPr>
          <w:p w:rsidR="00FB437D" w:rsidRPr="00F560D9" w:rsidRDefault="00FB437D">
            <w:pPr>
              <w:pStyle w:val="BodyText"/>
              <w:spacing w:after="40" w:line="240" w:lineRule="exact"/>
              <w:rPr>
                <w:iCs/>
                <w:sz w:val="22"/>
                <w:szCs w:val="22"/>
              </w:rPr>
            </w:pPr>
            <w:r w:rsidRPr="00F560D9">
              <w:rPr>
                <w:iCs/>
                <w:sz w:val="22"/>
                <w:szCs w:val="22"/>
              </w:rPr>
              <w:t xml:space="preserve">This category includes any nonfatal cardiovascular event (other than cerebrovascular disease) for which hospitalization was required.  These nonfatal items from the </w:t>
            </w:r>
            <w:r w:rsidRPr="00F560D9">
              <w:rPr>
                <w:i/>
                <w:sz w:val="22"/>
                <w:szCs w:val="22"/>
              </w:rPr>
              <w:t>General Health</w:t>
            </w:r>
            <w:r w:rsidRPr="00F560D9">
              <w:rPr>
                <w:sz w:val="22"/>
                <w:szCs w:val="22"/>
              </w:rPr>
              <w:t xml:space="preserve"> </w:t>
            </w:r>
            <w:r w:rsidRPr="00F560D9">
              <w:rPr>
                <w:iCs/>
                <w:sz w:val="22"/>
                <w:szCs w:val="22"/>
              </w:rPr>
              <w:t xml:space="preserve">form include myocardial infarction (or heart attack); angina pectoris (or chest pain due to heart disease); heart failure; peripheral vascular disease or intermittent claudication; atrial fibrillation; </w:t>
            </w:r>
            <w:r w:rsidR="000F1476" w:rsidRPr="00F560D9">
              <w:rPr>
                <w:iCs/>
                <w:sz w:val="22"/>
                <w:szCs w:val="22"/>
              </w:rPr>
              <w:t>ETT (</w:t>
            </w:r>
            <w:r w:rsidRPr="00F560D9">
              <w:rPr>
                <w:iCs/>
                <w:sz w:val="22"/>
                <w:szCs w:val="22"/>
              </w:rPr>
              <w:t xml:space="preserve">exercise treadmill or bicycle </w:t>
            </w:r>
            <w:r w:rsidR="000F1476" w:rsidRPr="00F560D9">
              <w:rPr>
                <w:iCs/>
                <w:sz w:val="22"/>
                <w:szCs w:val="22"/>
              </w:rPr>
              <w:t xml:space="preserve">stress </w:t>
            </w:r>
            <w:r w:rsidRPr="00F560D9">
              <w:rPr>
                <w:iCs/>
                <w:sz w:val="22"/>
                <w:szCs w:val="22"/>
              </w:rPr>
              <w:t>test</w:t>
            </w:r>
            <w:r w:rsidR="000F1476" w:rsidRPr="00F560D9">
              <w:rPr>
                <w:iCs/>
                <w:sz w:val="22"/>
                <w:szCs w:val="22"/>
              </w:rPr>
              <w:t xml:space="preserve">, </w:t>
            </w:r>
            <w:r w:rsidR="00B26BB1" w:rsidRPr="00F560D9">
              <w:rPr>
                <w:iCs/>
                <w:sz w:val="22"/>
                <w:szCs w:val="22"/>
              </w:rPr>
              <w:t>pharmacological or c</w:t>
            </w:r>
            <w:r w:rsidR="000F1476" w:rsidRPr="00F560D9">
              <w:rPr>
                <w:iCs/>
                <w:sz w:val="22"/>
                <w:szCs w:val="22"/>
              </w:rPr>
              <w:t>hemical stress test)</w:t>
            </w:r>
            <w:r w:rsidRPr="00F560D9">
              <w:rPr>
                <w:iCs/>
                <w:sz w:val="22"/>
                <w:szCs w:val="22"/>
              </w:rPr>
              <w:t xml:space="preserve">; coronary angiography or heart catheterization; echocardiogram; heart angioplasty; coronary bypass; leg angioplasty; or other heart or blood vessel procedure (excluding neck or brain). </w:t>
            </w:r>
          </w:p>
          <w:p w:rsidR="00FB437D" w:rsidRPr="00F560D9" w:rsidRDefault="00FB437D" w:rsidP="00D2155F">
            <w:pPr>
              <w:pStyle w:val="BodyText"/>
              <w:spacing w:after="40" w:line="240" w:lineRule="exact"/>
              <w:rPr>
                <w:iCs/>
                <w:sz w:val="22"/>
                <w:szCs w:val="22"/>
              </w:rPr>
            </w:pPr>
            <w:r w:rsidRPr="00F560D9">
              <w:rPr>
                <w:iCs/>
                <w:sz w:val="22"/>
                <w:szCs w:val="22"/>
              </w:rPr>
              <w:t xml:space="preserve">NOTE: Being seen in the ER is NOT being hospitalized. If a participant is seen in the ER and then is subsequently </w:t>
            </w:r>
            <w:r w:rsidR="003739D2" w:rsidRPr="00D2155F">
              <w:rPr>
                <w:iCs/>
                <w:sz w:val="22"/>
                <w:szCs w:val="22"/>
              </w:rPr>
              <w:t xml:space="preserve">admitted, </w:t>
            </w:r>
            <w:r w:rsidR="00F50403" w:rsidRPr="00D2155F">
              <w:rPr>
                <w:iCs/>
                <w:sz w:val="22"/>
                <w:szCs w:val="22"/>
              </w:rPr>
              <w:t>the event is classified as “Hospitalized.”</w:t>
            </w:r>
          </w:p>
        </w:tc>
      </w:tr>
      <w:tr w:rsidR="00FB437D" w:rsidRPr="00F560D9" w:rsidTr="00422242">
        <w:tc>
          <w:tcPr>
            <w:tcW w:w="1890" w:type="dxa"/>
          </w:tcPr>
          <w:p w:rsidR="00FB437D" w:rsidRPr="00F560D9" w:rsidRDefault="00FB437D">
            <w:pPr>
              <w:pStyle w:val="BodyText"/>
              <w:spacing w:after="40" w:line="240" w:lineRule="exact"/>
              <w:rPr>
                <w:sz w:val="22"/>
                <w:szCs w:val="22"/>
              </w:rPr>
            </w:pPr>
            <w:r w:rsidRPr="00F560D9">
              <w:rPr>
                <w:sz w:val="22"/>
                <w:szCs w:val="22"/>
              </w:rPr>
              <w:t>Hospitalized Cardiac Death</w:t>
            </w:r>
          </w:p>
        </w:tc>
        <w:tc>
          <w:tcPr>
            <w:tcW w:w="6750" w:type="dxa"/>
          </w:tcPr>
          <w:p w:rsidR="00FB437D" w:rsidRPr="00F560D9" w:rsidRDefault="00FB437D">
            <w:pPr>
              <w:pStyle w:val="BodyText"/>
              <w:spacing w:after="40" w:line="240" w:lineRule="exact"/>
              <w:rPr>
                <w:iCs/>
                <w:sz w:val="22"/>
                <w:szCs w:val="22"/>
              </w:rPr>
            </w:pPr>
            <w:r w:rsidRPr="00F560D9">
              <w:rPr>
                <w:iCs/>
                <w:sz w:val="22"/>
                <w:szCs w:val="22"/>
              </w:rPr>
              <w:t>This category is for fatal events for which the participant was hospitalized, and, based on available information, appear to be related to cardiac or peripheral vascular disease.</w:t>
            </w:r>
          </w:p>
          <w:p w:rsidR="00FB437D" w:rsidRPr="00F560D9" w:rsidRDefault="00FB437D">
            <w:pPr>
              <w:pStyle w:val="BodyText"/>
              <w:spacing w:after="40" w:line="240" w:lineRule="exact"/>
              <w:rPr>
                <w:iCs/>
                <w:sz w:val="22"/>
                <w:szCs w:val="22"/>
              </w:rPr>
            </w:pPr>
            <w:r w:rsidRPr="00F560D9">
              <w:rPr>
                <w:iCs/>
                <w:sz w:val="22"/>
                <w:szCs w:val="22"/>
              </w:rPr>
              <w:t xml:space="preserve">NOTE: This </w:t>
            </w:r>
            <w:r w:rsidRPr="00F560D9">
              <w:rPr>
                <w:sz w:val="22"/>
                <w:szCs w:val="22"/>
              </w:rPr>
              <w:t xml:space="preserve">does not </w:t>
            </w:r>
            <w:r w:rsidRPr="00F560D9">
              <w:rPr>
                <w:iCs/>
                <w:sz w:val="22"/>
                <w:szCs w:val="22"/>
              </w:rPr>
              <w:t>include ER deaths (i.e., participant who died in the ER without having been admitted to the hospital). Such deaths should be categorized as out-of-hospital.</w:t>
            </w:r>
          </w:p>
        </w:tc>
      </w:tr>
      <w:tr w:rsidR="00FB437D" w:rsidRPr="00F560D9" w:rsidTr="00422242">
        <w:tc>
          <w:tcPr>
            <w:tcW w:w="1890" w:type="dxa"/>
          </w:tcPr>
          <w:p w:rsidR="00FB437D" w:rsidRPr="00F560D9" w:rsidRDefault="00FB437D">
            <w:pPr>
              <w:pStyle w:val="BodyText"/>
              <w:spacing w:after="40" w:line="240" w:lineRule="exact"/>
              <w:rPr>
                <w:sz w:val="22"/>
                <w:szCs w:val="22"/>
              </w:rPr>
            </w:pPr>
            <w:r w:rsidRPr="00F560D9">
              <w:rPr>
                <w:sz w:val="22"/>
                <w:szCs w:val="22"/>
              </w:rPr>
              <w:t>Hospitalized Cerebrovascular Non-fatal</w:t>
            </w:r>
          </w:p>
        </w:tc>
        <w:tc>
          <w:tcPr>
            <w:tcW w:w="6750" w:type="dxa"/>
          </w:tcPr>
          <w:p w:rsidR="00FB437D" w:rsidRPr="00F560D9" w:rsidRDefault="00FB437D">
            <w:pPr>
              <w:pStyle w:val="BodyText"/>
              <w:spacing w:after="40" w:line="240" w:lineRule="exact"/>
              <w:rPr>
                <w:iCs/>
                <w:sz w:val="22"/>
                <w:szCs w:val="22"/>
              </w:rPr>
            </w:pPr>
            <w:r w:rsidRPr="00F560D9">
              <w:rPr>
                <w:iCs/>
                <w:sz w:val="22"/>
                <w:szCs w:val="22"/>
              </w:rPr>
              <w:t xml:space="preserve">This category includes nonfatal cerebrovascular events for which the participant was hospitalized.  These include the following items from the </w:t>
            </w:r>
            <w:r w:rsidRPr="00F560D9">
              <w:rPr>
                <w:i/>
                <w:sz w:val="22"/>
                <w:szCs w:val="22"/>
              </w:rPr>
              <w:t>General Health</w:t>
            </w:r>
            <w:r w:rsidRPr="00F560D9">
              <w:rPr>
                <w:iCs/>
                <w:sz w:val="22"/>
                <w:szCs w:val="22"/>
              </w:rPr>
              <w:t xml:space="preserve"> form: TIA (or mini-stroke); stroke; blockage to carotid artery; carotid ultrasound or carotid angiogram.</w:t>
            </w:r>
          </w:p>
          <w:p w:rsidR="00FB437D" w:rsidRPr="00F560D9" w:rsidRDefault="00FB437D">
            <w:pPr>
              <w:pStyle w:val="BodyText"/>
              <w:spacing w:after="40" w:line="240" w:lineRule="exact"/>
              <w:rPr>
                <w:iCs/>
                <w:sz w:val="22"/>
                <w:szCs w:val="22"/>
              </w:rPr>
            </w:pPr>
            <w:r w:rsidRPr="00F560D9">
              <w:rPr>
                <w:iCs/>
                <w:sz w:val="22"/>
                <w:szCs w:val="22"/>
              </w:rPr>
              <w:t>NOTE: Being seen in the ER is NOT being hospitalized. If a participant is seen in the ER and then is subsequently hospitalized, then it is “hospitalized</w:t>
            </w:r>
            <w:r w:rsidR="00670A66" w:rsidRPr="00F560D9">
              <w:rPr>
                <w:iCs/>
                <w:sz w:val="22"/>
                <w:szCs w:val="22"/>
              </w:rPr>
              <w:t xml:space="preserve">.”  </w:t>
            </w:r>
          </w:p>
        </w:tc>
      </w:tr>
      <w:tr w:rsidR="00FB437D" w:rsidRPr="00F560D9" w:rsidTr="00422242">
        <w:tc>
          <w:tcPr>
            <w:tcW w:w="1890" w:type="dxa"/>
          </w:tcPr>
          <w:p w:rsidR="00FB437D" w:rsidRPr="00F560D9" w:rsidRDefault="00FB437D">
            <w:pPr>
              <w:pStyle w:val="BodyText"/>
              <w:spacing w:after="40" w:line="240" w:lineRule="exact"/>
              <w:rPr>
                <w:sz w:val="22"/>
                <w:szCs w:val="22"/>
              </w:rPr>
            </w:pPr>
            <w:r w:rsidRPr="00F560D9">
              <w:rPr>
                <w:sz w:val="22"/>
                <w:szCs w:val="22"/>
              </w:rPr>
              <w:t>Hospitalized Cerebrovascular Death</w:t>
            </w:r>
          </w:p>
        </w:tc>
        <w:tc>
          <w:tcPr>
            <w:tcW w:w="6750" w:type="dxa"/>
          </w:tcPr>
          <w:p w:rsidR="00FB437D" w:rsidRPr="00F560D9" w:rsidRDefault="00FB437D">
            <w:pPr>
              <w:pStyle w:val="BodyText"/>
              <w:spacing w:after="40" w:line="240" w:lineRule="exact"/>
              <w:rPr>
                <w:iCs/>
                <w:sz w:val="22"/>
                <w:szCs w:val="22"/>
              </w:rPr>
            </w:pPr>
            <w:r w:rsidRPr="00F560D9">
              <w:rPr>
                <w:iCs/>
                <w:sz w:val="22"/>
                <w:szCs w:val="22"/>
              </w:rPr>
              <w:t>This category is for fatal events, for which the participant was hospitalized, and, based on available information, appear to be related to cerebrovascular disease.</w:t>
            </w:r>
          </w:p>
          <w:p w:rsidR="00FB437D" w:rsidRPr="00F560D9" w:rsidRDefault="00FB437D">
            <w:pPr>
              <w:pStyle w:val="BodyText"/>
              <w:spacing w:after="40" w:line="240" w:lineRule="exact"/>
              <w:rPr>
                <w:iCs/>
                <w:sz w:val="22"/>
                <w:szCs w:val="22"/>
              </w:rPr>
            </w:pPr>
            <w:r w:rsidRPr="00F560D9">
              <w:rPr>
                <w:iCs/>
                <w:sz w:val="22"/>
                <w:szCs w:val="22"/>
              </w:rPr>
              <w:t xml:space="preserve">NOTE: This </w:t>
            </w:r>
            <w:r w:rsidRPr="00F560D9">
              <w:rPr>
                <w:sz w:val="22"/>
                <w:szCs w:val="22"/>
              </w:rPr>
              <w:t xml:space="preserve">does not </w:t>
            </w:r>
            <w:r w:rsidRPr="00F560D9">
              <w:rPr>
                <w:iCs/>
                <w:sz w:val="22"/>
                <w:szCs w:val="22"/>
              </w:rPr>
              <w:t>include ER deaths (i.e., participant who died in the ER without having been admitted to the hospital). Such deaths should be categorized as out-of-hospital.</w:t>
            </w:r>
          </w:p>
        </w:tc>
      </w:tr>
      <w:tr w:rsidR="00FB437D" w:rsidRPr="00F560D9" w:rsidTr="00422242">
        <w:trPr>
          <w:cantSplit/>
        </w:trPr>
        <w:tc>
          <w:tcPr>
            <w:tcW w:w="1890" w:type="dxa"/>
          </w:tcPr>
          <w:p w:rsidR="00FB437D" w:rsidRPr="00F560D9" w:rsidRDefault="00FB437D">
            <w:pPr>
              <w:pStyle w:val="BodyText"/>
              <w:spacing w:after="40" w:line="240" w:lineRule="exact"/>
              <w:rPr>
                <w:sz w:val="22"/>
                <w:szCs w:val="22"/>
              </w:rPr>
            </w:pPr>
            <w:r w:rsidRPr="00F560D9">
              <w:rPr>
                <w:sz w:val="22"/>
                <w:szCs w:val="22"/>
              </w:rPr>
              <w:lastRenderedPageBreak/>
              <w:t>Out-of-Hospital Cardiac/PVD Non-fatal</w:t>
            </w:r>
          </w:p>
        </w:tc>
        <w:tc>
          <w:tcPr>
            <w:tcW w:w="6750" w:type="dxa"/>
          </w:tcPr>
          <w:p w:rsidR="00FB437D" w:rsidRPr="00F560D9" w:rsidRDefault="00FB437D">
            <w:pPr>
              <w:pStyle w:val="BodyText"/>
              <w:spacing w:after="40" w:line="240" w:lineRule="exact"/>
              <w:rPr>
                <w:iCs/>
                <w:sz w:val="22"/>
                <w:szCs w:val="22"/>
              </w:rPr>
            </w:pPr>
            <w:r w:rsidRPr="00F560D9">
              <w:rPr>
                <w:iCs/>
                <w:sz w:val="22"/>
                <w:szCs w:val="22"/>
              </w:rPr>
              <w:t xml:space="preserve">This category includes any nonfatal cardiovascular event (other than cerebrovascular disease) for which hospitalization was </w:t>
            </w:r>
            <w:r w:rsidRPr="00F560D9">
              <w:rPr>
                <w:sz w:val="22"/>
                <w:szCs w:val="22"/>
              </w:rPr>
              <w:t xml:space="preserve">not </w:t>
            </w:r>
            <w:r w:rsidRPr="00F560D9">
              <w:rPr>
                <w:iCs/>
                <w:sz w:val="22"/>
                <w:szCs w:val="22"/>
              </w:rPr>
              <w:t xml:space="preserve">required. These nonfatal items from the </w:t>
            </w:r>
            <w:r w:rsidRPr="00F560D9">
              <w:rPr>
                <w:i/>
                <w:iCs/>
                <w:sz w:val="22"/>
                <w:szCs w:val="22"/>
              </w:rPr>
              <w:t>General Health</w:t>
            </w:r>
            <w:r w:rsidRPr="00F560D9">
              <w:rPr>
                <w:iCs/>
                <w:sz w:val="22"/>
                <w:szCs w:val="22"/>
              </w:rPr>
              <w:t xml:space="preserve"> form include myocardial infarction (or heart attack); angina pectoris (or chest pain due to heart disease); heart failure; peripheral vascular disease or intermittent claudication; coronary angiography or heart catheterization;; heart angioplasty; coronary bypass; leg angioplasty; or other heart or blood vessel procedure (excluding neck or brain). It does not include diseases of veins.</w:t>
            </w:r>
            <w:r w:rsidR="00670A66" w:rsidRPr="00F560D9">
              <w:rPr>
                <w:iCs/>
                <w:sz w:val="22"/>
                <w:szCs w:val="22"/>
              </w:rPr>
              <w:t xml:space="preserve">  Cardiac- or PVD-related visits to the ER should be recorded here (unless the patient was officially admitted to the hospital directly from the ER).</w:t>
            </w:r>
          </w:p>
        </w:tc>
      </w:tr>
      <w:tr w:rsidR="00FB437D" w:rsidRPr="00F560D9" w:rsidTr="00422242">
        <w:tc>
          <w:tcPr>
            <w:tcW w:w="1890" w:type="dxa"/>
          </w:tcPr>
          <w:p w:rsidR="00FB437D" w:rsidRPr="00F560D9" w:rsidRDefault="00FB437D">
            <w:pPr>
              <w:pStyle w:val="BodyText"/>
              <w:spacing w:after="40" w:line="240" w:lineRule="exact"/>
              <w:rPr>
                <w:sz w:val="22"/>
                <w:szCs w:val="22"/>
              </w:rPr>
            </w:pPr>
            <w:r w:rsidRPr="00F560D9">
              <w:rPr>
                <w:sz w:val="22"/>
                <w:szCs w:val="22"/>
              </w:rPr>
              <w:t>Out-of-Hospital Cardiac Death</w:t>
            </w:r>
          </w:p>
        </w:tc>
        <w:tc>
          <w:tcPr>
            <w:tcW w:w="6750" w:type="dxa"/>
          </w:tcPr>
          <w:p w:rsidR="00FB437D" w:rsidRPr="00F560D9" w:rsidRDefault="00FB437D">
            <w:pPr>
              <w:pStyle w:val="BodyText"/>
              <w:spacing w:after="40" w:line="240" w:lineRule="exact"/>
              <w:rPr>
                <w:iCs/>
                <w:sz w:val="22"/>
                <w:szCs w:val="22"/>
              </w:rPr>
            </w:pPr>
            <w:r w:rsidRPr="00F560D9">
              <w:rPr>
                <w:iCs/>
                <w:sz w:val="22"/>
                <w:szCs w:val="22"/>
              </w:rPr>
              <w:t xml:space="preserve">This category is for fatal events for which the participant was </w:t>
            </w:r>
            <w:r w:rsidRPr="00F560D9">
              <w:rPr>
                <w:sz w:val="22"/>
                <w:szCs w:val="22"/>
              </w:rPr>
              <w:t xml:space="preserve">not </w:t>
            </w:r>
            <w:r w:rsidRPr="00F560D9">
              <w:rPr>
                <w:iCs/>
                <w:sz w:val="22"/>
                <w:szCs w:val="22"/>
              </w:rPr>
              <w:t>hospitalized, and, based on available information, appear to be related to cardiac disease.</w:t>
            </w:r>
          </w:p>
          <w:p w:rsidR="00FB437D" w:rsidRPr="00F560D9" w:rsidRDefault="00FB437D">
            <w:pPr>
              <w:pStyle w:val="BodyText"/>
              <w:spacing w:after="40" w:line="240" w:lineRule="exact"/>
              <w:rPr>
                <w:iCs/>
                <w:sz w:val="22"/>
                <w:szCs w:val="22"/>
              </w:rPr>
            </w:pPr>
            <w:r w:rsidRPr="00F560D9">
              <w:rPr>
                <w:iCs/>
                <w:sz w:val="22"/>
                <w:szCs w:val="22"/>
              </w:rPr>
              <w:t xml:space="preserve">NOTE: Deaths that occurred in the ER (without hospital admit) and cases in which the participant was dead-on-arrival (DOA) </w:t>
            </w:r>
            <w:r w:rsidRPr="00F560D9">
              <w:rPr>
                <w:sz w:val="22"/>
                <w:szCs w:val="22"/>
              </w:rPr>
              <w:t>should be included here.</w:t>
            </w:r>
          </w:p>
        </w:tc>
      </w:tr>
      <w:tr w:rsidR="00FB437D" w:rsidRPr="00F560D9" w:rsidTr="00422242">
        <w:tc>
          <w:tcPr>
            <w:tcW w:w="1890" w:type="dxa"/>
          </w:tcPr>
          <w:p w:rsidR="00FB437D" w:rsidRPr="00F560D9" w:rsidRDefault="00FB437D">
            <w:pPr>
              <w:pStyle w:val="BodyText"/>
              <w:spacing w:after="40" w:line="240" w:lineRule="exact"/>
              <w:rPr>
                <w:sz w:val="22"/>
                <w:szCs w:val="22"/>
              </w:rPr>
            </w:pPr>
            <w:r w:rsidRPr="00F560D9">
              <w:rPr>
                <w:sz w:val="22"/>
                <w:szCs w:val="22"/>
              </w:rPr>
              <w:t>Out-of-Hospital Cerebrovascular Non-fatal</w:t>
            </w:r>
          </w:p>
        </w:tc>
        <w:tc>
          <w:tcPr>
            <w:tcW w:w="6750" w:type="dxa"/>
          </w:tcPr>
          <w:p w:rsidR="00FB437D" w:rsidRPr="00F560D9" w:rsidRDefault="00FB437D">
            <w:pPr>
              <w:pStyle w:val="BodyText"/>
              <w:spacing w:after="40" w:line="240" w:lineRule="exact"/>
              <w:rPr>
                <w:iCs/>
                <w:sz w:val="22"/>
                <w:szCs w:val="22"/>
              </w:rPr>
            </w:pPr>
            <w:r w:rsidRPr="00F560D9">
              <w:rPr>
                <w:iCs/>
                <w:sz w:val="22"/>
                <w:szCs w:val="22"/>
              </w:rPr>
              <w:t xml:space="preserve">This category includes nonfatal cerebrovascular events for which the participant was </w:t>
            </w:r>
            <w:r w:rsidRPr="00F560D9">
              <w:rPr>
                <w:sz w:val="22"/>
                <w:szCs w:val="22"/>
              </w:rPr>
              <w:t xml:space="preserve">not </w:t>
            </w:r>
            <w:r w:rsidRPr="00F560D9">
              <w:rPr>
                <w:iCs/>
                <w:sz w:val="22"/>
                <w:szCs w:val="22"/>
              </w:rPr>
              <w:t xml:space="preserve">hospitalized. These include the following items from the </w:t>
            </w:r>
            <w:r w:rsidRPr="00F560D9">
              <w:rPr>
                <w:i/>
                <w:sz w:val="22"/>
                <w:szCs w:val="22"/>
              </w:rPr>
              <w:t>General</w:t>
            </w:r>
            <w:r w:rsidRPr="00F560D9">
              <w:rPr>
                <w:i/>
                <w:iCs/>
                <w:sz w:val="22"/>
                <w:szCs w:val="22"/>
              </w:rPr>
              <w:t xml:space="preserve"> Health</w:t>
            </w:r>
            <w:r w:rsidRPr="00F560D9">
              <w:rPr>
                <w:iCs/>
                <w:sz w:val="22"/>
                <w:szCs w:val="22"/>
              </w:rPr>
              <w:t xml:space="preserve"> form: TIA; mini-stroke; stroke; blockage to carotid artery; carotid ultrasound or carotid angiogram.</w:t>
            </w:r>
            <w:r w:rsidR="00670A66" w:rsidRPr="00F560D9">
              <w:rPr>
                <w:iCs/>
                <w:sz w:val="22"/>
                <w:szCs w:val="22"/>
              </w:rPr>
              <w:t xml:space="preserve">  Cerebrovascular-related visits to the ER should be recorded here (unless the patient was officially admitted to the hospital directly from the ER).</w:t>
            </w:r>
          </w:p>
        </w:tc>
      </w:tr>
      <w:tr w:rsidR="00FB437D" w:rsidRPr="00F560D9" w:rsidTr="00422242">
        <w:tc>
          <w:tcPr>
            <w:tcW w:w="1890" w:type="dxa"/>
          </w:tcPr>
          <w:p w:rsidR="00FB437D" w:rsidRPr="00F560D9" w:rsidRDefault="00FB437D">
            <w:pPr>
              <w:pStyle w:val="BodyText"/>
              <w:spacing w:after="40"/>
              <w:rPr>
                <w:sz w:val="22"/>
                <w:szCs w:val="22"/>
              </w:rPr>
            </w:pPr>
            <w:r w:rsidRPr="00F560D9">
              <w:rPr>
                <w:sz w:val="22"/>
                <w:szCs w:val="22"/>
              </w:rPr>
              <w:t>Out-of-Hospital Cerebrovascular Death</w:t>
            </w:r>
          </w:p>
        </w:tc>
        <w:tc>
          <w:tcPr>
            <w:tcW w:w="6750" w:type="dxa"/>
          </w:tcPr>
          <w:p w:rsidR="00FB437D" w:rsidRPr="00F560D9" w:rsidRDefault="00FB437D">
            <w:pPr>
              <w:pStyle w:val="BodyText"/>
              <w:spacing w:after="40" w:line="240" w:lineRule="exact"/>
              <w:rPr>
                <w:iCs/>
                <w:sz w:val="22"/>
                <w:szCs w:val="22"/>
              </w:rPr>
            </w:pPr>
            <w:r w:rsidRPr="00F560D9">
              <w:rPr>
                <w:iCs/>
                <w:sz w:val="22"/>
                <w:szCs w:val="22"/>
              </w:rPr>
              <w:t xml:space="preserve">This category is for fatal events for which the participant was </w:t>
            </w:r>
            <w:r w:rsidRPr="00F560D9">
              <w:rPr>
                <w:sz w:val="22"/>
                <w:szCs w:val="22"/>
              </w:rPr>
              <w:t xml:space="preserve">not </w:t>
            </w:r>
            <w:r w:rsidRPr="00F560D9">
              <w:rPr>
                <w:iCs/>
                <w:sz w:val="22"/>
                <w:szCs w:val="22"/>
              </w:rPr>
              <w:t>hospitalized, and, based on available information, appear to be related to cerebrovascular disease.</w:t>
            </w:r>
          </w:p>
          <w:p w:rsidR="00FB437D" w:rsidRPr="00F560D9" w:rsidRDefault="00FB437D">
            <w:pPr>
              <w:pStyle w:val="BodyText"/>
              <w:spacing w:after="40" w:line="240" w:lineRule="exact"/>
              <w:rPr>
                <w:iCs/>
                <w:sz w:val="22"/>
                <w:szCs w:val="22"/>
              </w:rPr>
            </w:pPr>
            <w:r w:rsidRPr="00F560D9">
              <w:rPr>
                <w:iCs/>
                <w:sz w:val="22"/>
                <w:szCs w:val="22"/>
              </w:rPr>
              <w:t xml:space="preserve">NOTE: Deaths that occurred in the ER (without hospital admit) and cases in which the participant was dead-on-arrival (DOA) </w:t>
            </w:r>
            <w:r w:rsidRPr="00F560D9">
              <w:rPr>
                <w:sz w:val="22"/>
                <w:szCs w:val="22"/>
              </w:rPr>
              <w:t>should be included here.</w:t>
            </w:r>
          </w:p>
        </w:tc>
      </w:tr>
      <w:tr w:rsidR="00FB437D" w:rsidRPr="00F560D9" w:rsidTr="00422242">
        <w:tc>
          <w:tcPr>
            <w:tcW w:w="1890" w:type="dxa"/>
          </w:tcPr>
          <w:p w:rsidR="00422242" w:rsidRDefault="00FB437D">
            <w:pPr>
              <w:pStyle w:val="BodyText"/>
              <w:spacing w:after="40" w:line="240" w:lineRule="exact"/>
              <w:rPr>
                <w:sz w:val="22"/>
                <w:szCs w:val="22"/>
              </w:rPr>
            </w:pPr>
            <w:r w:rsidRPr="00F560D9">
              <w:rPr>
                <w:sz w:val="22"/>
                <w:szCs w:val="22"/>
              </w:rPr>
              <w:t xml:space="preserve">Non-CVD </w:t>
            </w:r>
          </w:p>
          <w:p w:rsidR="00FB437D" w:rsidRPr="00F560D9" w:rsidRDefault="00FB437D">
            <w:pPr>
              <w:pStyle w:val="BodyText"/>
              <w:spacing w:after="40" w:line="240" w:lineRule="exact"/>
              <w:rPr>
                <w:sz w:val="22"/>
                <w:szCs w:val="22"/>
              </w:rPr>
            </w:pPr>
            <w:r w:rsidRPr="00F560D9">
              <w:rPr>
                <w:sz w:val="22"/>
                <w:szCs w:val="22"/>
              </w:rPr>
              <w:t>Non-fatal Hospitalization</w:t>
            </w:r>
          </w:p>
        </w:tc>
        <w:tc>
          <w:tcPr>
            <w:tcW w:w="6750" w:type="dxa"/>
          </w:tcPr>
          <w:p w:rsidR="00FB437D" w:rsidRPr="00F560D9" w:rsidRDefault="00FB437D" w:rsidP="00D2155F">
            <w:pPr>
              <w:pStyle w:val="BodyText"/>
              <w:spacing w:after="40" w:line="240" w:lineRule="exact"/>
              <w:rPr>
                <w:iCs/>
                <w:sz w:val="22"/>
                <w:szCs w:val="22"/>
              </w:rPr>
            </w:pPr>
            <w:r w:rsidRPr="00F560D9">
              <w:rPr>
                <w:iCs/>
                <w:sz w:val="22"/>
                <w:szCs w:val="22"/>
              </w:rPr>
              <w:t>This category includes all hospitalizations not thought to be cardiovascular related.</w:t>
            </w:r>
            <w:r w:rsidR="00670A66" w:rsidRPr="00F560D9">
              <w:rPr>
                <w:iCs/>
                <w:sz w:val="22"/>
                <w:szCs w:val="22"/>
              </w:rPr>
              <w:t xml:space="preserve"> Non-CVD-related visits to the ER should </w:t>
            </w:r>
            <w:r w:rsidR="00F45995" w:rsidRPr="00F560D9">
              <w:rPr>
                <w:iCs/>
                <w:sz w:val="22"/>
                <w:szCs w:val="22"/>
                <w:u w:val="single"/>
              </w:rPr>
              <w:t>not</w:t>
            </w:r>
            <w:r w:rsidR="00F45995" w:rsidRPr="00F560D9">
              <w:rPr>
                <w:iCs/>
                <w:sz w:val="22"/>
                <w:szCs w:val="22"/>
              </w:rPr>
              <w:t xml:space="preserve"> </w:t>
            </w:r>
            <w:r w:rsidR="00670A66" w:rsidRPr="00F560D9">
              <w:rPr>
                <w:iCs/>
                <w:sz w:val="22"/>
                <w:szCs w:val="22"/>
              </w:rPr>
              <w:t>be recorded here (unless the patient was officially admitted to the hospital directly from the ER).</w:t>
            </w:r>
          </w:p>
        </w:tc>
      </w:tr>
      <w:tr w:rsidR="00FB437D" w:rsidRPr="00F560D9" w:rsidTr="00422242">
        <w:tc>
          <w:tcPr>
            <w:tcW w:w="1890" w:type="dxa"/>
          </w:tcPr>
          <w:p w:rsidR="00FB437D" w:rsidRPr="00F560D9" w:rsidRDefault="00FB437D">
            <w:pPr>
              <w:pStyle w:val="BodyText"/>
              <w:spacing w:after="40" w:line="240" w:lineRule="exact"/>
              <w:rPr>
                <w:sz w:val="22"/>
                <w:szCs w:val="22"/>
              </w:rPr>
            </w:pPr>
            <w:r w:rsidRPr="00F560D9">
              <w:rPr>
                <w:sz w:val="22"/>
                <w:szCs w:val="22"/>
              </w:rPr>
              <w:t>Non-CVD Death</w:t>
            </w:r>
          </w:p>
        </w:tc>
        <w:tc>
          <w:tcPr>
            <w:tcW w:w="6750" w:type="dxa"/>
          </w:tcPr>
          <w:p w:rsidR="00FB437D" w:rsidRPr="00F560D9" w:rsidRDefault="00FB437D">
            <w:pPr>
              <w:pStyle w:val="BodyText"/>
              <w:spacing w:after="40" w:line="240" w:lineRule="exact"/>
              <w:rPr>
                <w:iCs/>
                <w:sz w:val="22"/>
                <w:szCs w:val="22"/>
              </w:rPr>
            </w:pPr>
            <w:r w:rsidRPr="00F560D9">
              <w:rPr>
                <w:iCs/>
                <w:sz w:val="22"/>
                <w:szCs w:val="22"/>
              </w:rPr>
              <w:t>This category includes all deaths not thought to be cardiovascular related.</w:t>
            </w:r>
          </w:p>
        </w:tc>
      </w:tr>
      <w:tr w:rsidR="00FB437D" w:rsidRPr="00F560D9" w:rsidTr="00422242">
        <w:tc>
          <w:tcPr>
            <w:tcW w:w="1890" w:type="dxa"/>
          </w:tcPr>
          <w:p w:rsidR="00FB437D" w:rsidRPr="00F560D9" w:rsidRDefault="00FB437D">
            <w:pPr>
              <w:pStyle w:val="BodyText"/>
              <w:spacing w:after="40" w:line="240" w:lineRule="exact"/>
              <w:rPr>
                <w:sz w:val="22"/>
                <w:szCs w:val="22"/>
              </w:rPr>
            </w:pPr>
            <w:r w:rsidRPr="00F560D9">
              <w:rPr>
                <w:sz w:val="22"/>
                <w:szCs w:val="22"/>
              </w:rPr>
              <w:t>Unknown</w:t>
            </w:r>
          </w:p>
        </w:tc>
        <w:tc>
          <w:tcPr>
            <w:tcW w:w="6750" w:type="dxa"/>
          </w:tcPr>
          <w:p w:rsidR="00670A66" w:rsidRPr="00F560D9" w:rsidRDefault="00FB437D">
            <w:pPr>
              <w:pStyle w:val="BodyText"/>
              <w:spacing w:after="40" w:line="240" w:lineRule="exact"/>
              <w:rPr>
                <w:iCs/>
                <w:sz w:val="22"/>
                <w:szCs w:val="22"/>
              </w:rPr>
            </w:pPr>
            <w:r w:rsidRPr="00F560D9">
              <w:rPr>
                <w:iCs/>
                <w:sz w:val="22"/>
                <w:szCs w:val="22"/>
              </w:rPr>
              <w:t>This category is used if the type of event is unclear at the time the initial notification is completed.  More information must be gathered to determine this.</w:t>
            </w:r>
            <w:r w:rsidR="00670A66" w:rsidRPr="00F560D9">
              <w:rPr>
                <w:iCs/>
                <w:sz w:val="22"/>
                <w:szCs w:val="22"/>
              </w:rPr>
              <w:t xml:space="preserve"> </w:t>
            </w:r>
          </w:p>
          <w:p w:rsidR="00FB437D" w:rsidRPr="00F560D9" w:rsidRDefault="00FB437D" w:rsidP="00D2155F">
            <w:pPr>
              <w:pStyle w:val="BodyText"/>
              <w:spacing w:after="40" w:line="240" w:lineRule="exact"/>
              <w:rPr>
                <w:iCs/>
                <w:sz w:val="22"/>
                <w:szCs w:val="22"/>
              </w:rPr>
            </w:pPr>
            <w:r w:rsidRPr="00F560D9">
              <w:rPr>
                <w:iCs/>
                <w:sz w:val="22"/>
                <w:szCs w:val="22"/>
              </w:rPr>
              <w:t xml:space="preserve">NOTE: </w:t>
            </w:r>
            <w:r w:rsidRPr="00F560D9">
              <w:rPr>
                <w:iCs/>
                <w:sz w:val="22"/>
                <w:szCs w:val="22"/>
                <w:u w:val="single"/>
              </w:rPr>
              <w:t xml:space="preserve">This category should only be used in </w:t>
            </w:r>
            <w:r w:rsidR="004A6EF8" w:rsidRPr="00F560D9">
              <w:rPr>
                <w:iCs/>
                <w:sz w:val="22"/>
                <w:szCs w:val="22"/>
                <w:u w:val="single"/>
              </w:rPr>
              <w:t>rare</w:t>
            </w:r>
            <w:r w:rsidRPr="00F560D9">
              <w:rPr>
                <w:iCs/>
                <w:sz w:val="22"/>
                <w:szCs w:val="22"/>
                <w:u w:val="single"/>
              </w:rPr>
              <w:t xml:space="preserve"> cases</w:t>
            </w:r>
            <w:r w:rsidRPr="00F560D9">
              <w:rPr>
                <w:iCs/>
                <w:sz w:val="22"/>
                <w:szCs w:val="22"/>
              </w:rPr>
              <w:t>.</w:t>
            </w:r>
            <w:r w:rsidR="004A6EF8" w:rsidRPr="00F560D9">
              <w:rPr>
                <w:iCs/>
                <w:sz w:val="22"/>
                <w:szCs w:val="22"/>
              </w:rPr>
              <w:t xml:space="preserve">  For example, if the participant undergoes cardiovascular evaluation of any sort, then one of the cardiovascular event types should be marked</w:t>
            </w:r>
            <w:r w:rsidR="00670A66" w:rsidRPr="00F560D9">
              <w:rPr>
                <w:iCs/>
                <w:sz w:val="22"/>
                <w:szCs w:val="22"/>
              </w:rPr>
              <w:t xml:space="preserve"> (rather than “Unknown”)</w:t>
            </w:r>
            <w:r w:rsidR="00D2155F">
              <w:rPr>
                <w:iCs/>
                <w:color w:val="FF0000"/>
                <w:sz w:val="22"/>
                <w:szCs w:val="22"/>
              </w:rPr>
              <w:t xml:space="preserve"> </w:t>
            </w:r>
            <w:r w:rsidR="004A6EF8" w:rsidRPr="00F560D9">
              <w:rPr>
                <w:iCs/>
                <w:sz w:val="22"/>
                <w:szCs w:val="22"/>
              </w:rPr>
              <w:t xml:space="preserve">even if the participant says no clear or definitive diagnosis was made by the physician.  </w:t>
            </w:r>
            <w:r w:rsidRPr="00F560D9">
              <w:rPr>
                <w:iCs/>
                <w:sz w:val="22"/>
                <w:szCs w:val="22"/>
              </w:rPr>
              <w:t xml:space="preserve">The event type can always be changed on the </w:t>
            </w:r>
            <w:r w:rsidRPr="00F560D9">
              <w:rPr>
                <w:i/>
                <w:iCs/>
                <w:sz w:val="22"/>
                <w:szCs w:val="22"/>
              </w:rPr>
              <w:t>Final Notification</w:t>
            </w:r>
            <w:r w:rsidRPr="00F560D9">
              <w:rPr>
                <w:iCs/>
                <w:sz w:val="22"/>
                <w:szCs w:val="22"/>
              </w:rPr>
              <w:t xml:space="preserve">. Selecting a type on the </w:t>
            </w:r>
            <w:r w:rsidRPr="00F560D9">
              <w:rPr>
                <w:i/>
                <w:iCs/>
                <w:sz w:val="22"/>
                <w:szCs w:val="22"/>
              </w:rPr>
              <w:t>Initial Not</w:t>
            </w:r>
            <w:r w:rsidR="000F1476" w:rsidRPr="00F560D9">
              <w:rPr>
                <w:i/>
                <w:iCs/>
                <w:sz w:val="22"/>
                <w:szCs w:val="22"/>
              </w:rPr>
              <w:t>ification</w:t>
            </w:r>
            <w:r w:rsidRPr="00F560D9">
              <w:rPr>
                <w:iCs/>
                <w:sz w:val="22"/>
                <w:szCs w:val="22"/>
              </w:rPr>
              <w:t xml:space="preserve"> simply indicates to the CC how you will be investigating the potential event.</w:t>
            </w:r>
          </w:p>
        </w:tc>
      </w:tr>
    </w:tbl>
    <w:p w:rsidR="00FB437D" w:rsidRPr="00F560D9" w:rsidRDefault="00FB437D">
      <w:pPr>
        <w:pStyle w:val="BodyText21"/>
        <w:spacing w:before="120" w:line="180" w:lineRule="auto"/>
        <w:rPr>
          <w:rFonts w:ascii="Times New Roman" w:hAnsi="Times New Roman"/>
          <w:bCs/>
        </w:rPr>
      </w:pPr>
      <w:bookmarkStart w:id="84" w:name="_Toc524842530"/>
      <w:bookmarkStart w:id="85" w:name="_Toc524842925"/>
      <w:bookmarkStart w:id="86" w:name="_Toc524843395"/>
      <w:bookmarkStart w:id="87" w:name="_Toc524843641"/>
      <w:bookmarkStart w:id="88" w:name="_Toc524850265"/>
      <w:bookmarkStart w:id="89" w:name="_Toc524850775"/>
      <w:bookmarkStart w:id="90" w:name="_Toc524851059"/>
      <w:bookmarkStart w:id="91" w:name="_Toc524939316"/>
      <w:bookmarkStart w:id="92" w:name="_Toc524939388"/>
      <w:bookmarkStart w:id="93" w:name="_Toc524939485"/>
      <w:bookmarkStart w:id="94" w:name="_Toc524943109"/>
      <w:bookmarkStart w:id="95" w:name="_Toc525025292"/>
      <w:bookmarkStart w:id="96" w:name="_Toc526909525"/>
      <w:bookmarkStart w:id="97" w:name="_Toc526909661"/>
      <w:bookmarkStart w:id="98" w:name="_Toc528031232"/>
    </w:p>
    <w:p w:rsidR="00FB437D" w:rsidRPr="00F560D9" w:rsidRDefault="00D2155F">
      <w:pPr>
        <w:pStyle w:val="Heading5"/>
      </w:pPr>
      <w:r>
        <w:br w:type="page"/>
      </w:r>
      <w:r w:rsidR="00FB437D" w:rsidRPr="00F560D9">
        <w:lastRenderedPageBreak/>
        <w:t>(Question 3)</w:t>
      </w:r>
      <w:r w:rsidR="00FB437D" w:rsidRPr="00F560D9">
        <w:tab/>
        <w:t>How did the FC find out about the event?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FB437D" w:rsidRPr="00F560D9" w:rsidRDefault="00FB437D">
      <w:pPr>
        <w:pStyle w:val="BodyText"/>
        <w:spacing w:line="180" w:lineRule="auto"/>
        <w:rPr>
          <w:iCs/>
        </w:rPr>
      </w:pPr>
      <w:r w:rsidRPr="00F560D9">
        <w:rPr>
          <w:iCs/>
        </w:rPr>
        <w:t>Record how the field center became aware of the potential event.</w:t>
      </w:r>
    </w:p>
    <w:p w:rsidR="00FB437D" w:rsidRPr="00F560D9" w:rsidRDefault="00FB437D">
      <w:pPr>
        <w:pStyle w:val="StyleBodyTextItalic"/>
      </w:pPr>
      <w:r w:rsidRPr="00F560D9">
        <w:t>Choose response from the available choices:</w:t>
      </w:r>
    </w:p>
    <w:p w:rsidR="00FB437D" w:rsidRPr="00F560D9" w:rsidRDefault="00FB437D">
      <w:pPr>
        <w:pStyle w:val="BulletQuestion"/>
        <w:spacing w:after="80"/>
      </w:pPr>
      <w:r w:rsidRPr="00F560D9">
        <w:t>Participant or spouse contacted the field center</w:t>
      </w:r>
    </w:p>
    <w:p w:rsidR="00FB437D" w:rsidRPr="00F560D9" w:rsidRDefault="00FB437D">
      <w:pPr>
        <w:pStyle w:val="BulletQuestion"/>
        <w:spacing w:after="80"/>
      </w:pPr>
      <w:r w:rsidRPr="00F560D9">
        <w:t>Clinic visit</w:t>
      </w:r>
    </w:p>
    <w:p w:rsidR="00FB437D" w:rsidRPr="00F560D9" w:rsidRDefault="00FB437D">
      <w:pPr>
        <w:pStyle w:val="BulletQuestion"/>
        <w:spacing w:after="80"/>
      </w:pPr>
      <w:r w:rsidRPr="00F560D9">
        <w:t>Follow-up telephone/mail contact</w:t>
      </w:r>
    </w:p>
    <w:p w:rsidR="00FB437D" w:rsidRPr="00F560D9" w:rsidRDefault="00FB437D">
      <w:pPr>
        <w:pStyle w:val="BulletQuestion"/>
        <w:spacing w:after="80"/>
      </w:pPr>
      <w:r w:rsidRPr="00F560D9">
        <w:t>Other clinic-initiated contact</w:t>
      </w:r>
      <w:r w:rsidR="00277D5A" w:rsidRPr="00F560D9">
        <w:t xml:space="preserve"> (e.g., setting up an appointment, etc.)</w:t>
      </w:r>
    </w:p>
    <w:p w:rsidR="00FB437D" w:rsidRPr="00F560D9" w:rsidRDefault="00FB437D">
      <w:pPr>
        <w:pStyle w:val="BulletQuestion"/>
        <w:spacing w:after="80"/>
      </w:pPr>
      <w:r w:rsidRPr="00F560D9">
        <w:t>Obituary/local news</w:t>
      </w:r>
    </w:p>
    <w:p w:rsidR="00FB437D" w:rsidRPr="00F560D9" w:rsidRDefault="00FB437D">
      <w:pPr>
        <w:pStyle w:val="Heading5"/>
      </w:pPr>
      <w:r w:rsidRPr="00F560D9">
        <w:t>Investigation of another event</w:t>
      </w:r>
    </w:p>
    <w:p w:rsidR="00FB437D" w:rsidRDefault="00FB437D" w:rsidP="001D0A21">
      <w:pPr>
        <w:pStyle w:val="BodyText"/>
        <w:spacing w:after="0"/>
        <w:contextualSpacing/>
        <w:rPr>
          <w:iCs/>
        </w:rPr>
      </w:pPr>
      <w:r w:rsidRPr="00F560D9">
        <w:rPr>
          <w:iCs/>
        </w:rPr>
        <w:t>If none of the listed categories are appropriate, select "Other" and specify details in the box provided.</w:t>
      </w:r>
    </w:p>
    <w:p w:rsidR="001D0A21" w:rsidRPr="00F560D9" w:rsidRDefault="001D0A21" w:rsidP="001D0A21">
      <w:pPr>
        <w:pStyle w:val="BodyText"/>
        <w:spacing w:after="0"/>
        <w:contextualSpacing/>
        <w:rPr>
          <w:iCs/>
        </w:rPr>
      </w:pPr>
    </w:p>
    <w:p w:rsidR="00277D5A" w:rsidRPr="00F560D9" w:rsidRDefault="00277D5A" w:rsidP="001D0A21">
      <w:pPr>
        <w:pStyle w:val="BodyText"/>
        <w:contextualSpacing/>
        <w:rPr>
          <w:iCs/>
        </w:rPr>
      </w:pPr>
      <w:r w:rsidRPr="00F560D9">
        <w:rPr>
          <w:iCs/>
        </w:rPr>
        <w:t xml:space="preserve">If the potential event is discovered while setting up an appointment during a Follow-up Call interview, then “Follow-up telephone/mail contact” should be marked, </w:t>
      </w:r>
      <w:r w:rsidRPr="00F560D9">
        <w:rPr>
          <w:iCs/>
          <w:u w:val="single"/>
        </w:rPr>
        <w:t>not</w:t>
      </w:r>
      <w:r w:rsidRPr="00F560D9">
        <w:rPr>
          <w:iCs/>
        </w:rPr>
        <w:t xml:space="preserve"> “Other clinic-initiated contact (e.g., setting up an appointment).”</w:t>
      </w:r>
    </w:p>
    <w:p w:rsidR="00FB437D" w:rsidRPr="00F560D9" w:rsidRDefault="00FB437D">
      <w:pPr>
        <w:pStyle w:val="Heading3"/>
      </w:pPr>
      <w:bookmarkStart w:id="99" w:name="_Toc524842531"/>
      <w:bookmarkStart w:id="100" w:name="_Toc524842926"/>
      <w:bookmarkStart w:id="101" w:name="_Toc524843396"/>
      <w:bookmarkStart w:id="102" w:name="_Toc524843642"/>
      <w:bookmarkStart w:id="103" w:name="_Toc524850266"/>
      <w:bookmarkStart w:id="104" w:name="_Toc524850776"/>
      <w:bookmarkStart w:id="105" w:name="_Toc524851060"/>
      <w:bookmarkStart w:id="106" w:name="_Toc524939317"/>
      <w:bookmarkStart w:id="107" w:name="_Toc524939389"/>
      <w:bookmarkStart w:id="108" w:name="_Toc524939486"/>
      <w:bookmarkStart w:id="109" w:name="_Toc524943110"/>
      <w:bookmarkStart w:id="110" w:name="_Toc525025293"/>
      <w:bookmarkStart w:id="111" w:name="_Toc526909526"/>
      <w:bookmarkStart w:id="112" w:name="_Toc526909662"/>
      <w:bookmarkStart w:id="113" w:name="_Toc528031233"/>
      <w:bookmarkStart w:id="114" w:name="_Toc17883267"/>
      <w:r w:rsidRPr="00F560D9">
        <w:t>D.2.3</w:t>
      </w:r>
      <w:r w:rsidRPr="00F560D9">
        <w:tab/>
        <w:t>Additional Form Information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FB437D" w:rsidRPr="00F560D9" w:rsidRDefault="00FB437D">
      <w:pPr>
        <w:pStyle w:val="StyleBodyTextItalic"/>
      </w:pPr>
      <w:r w:rsidRPr="00F560D9">
        <w:t>In the “Notes” section, record any additional information that may be relevant to your investigation of this potential event.</w:t>
      </w:r>
    </w:p>
    <w:p w:rsidR="00FB437D" w:rsidRPr="00F560D9" w:rsidRDefault="00FB437D">
      <w:pPr>
        <w:pStyle w:val="StyleBodyTextItalic"/>
      </w:pPr>
      <w:r w:rsidRPr="00F560D9">
        <w:t>If the field center learned of the event through a means other than a Follow-Up Phone Call, make sure Questions 1–3 are complete</w:t>
      </w:r>
      <w:r w:rsidR="00D2155F">
        <w:t>.</w:t>
      </w:r>
      <w:r w:rsidR="00065116">
        <w:rPr>
          <w:color w:val="0070C0"/>
        </w:rPr>
        <w:t xml:space="preserve"> </w:t>
      </w:r>
    </w:p>
    <w:p w:rsidR="00FB437D" w:rsidRPr="00F560D9" w:rsidRDefault="00FB437D">
      <w:pPr>
        <w:pStyle w:val="BodyText"/>
        <w:spacing w:after="240"/>
        <w:rPr>
          <w:iCs/>
        </w:rPr>
      </w:pPr>
      <w:r w:rsidRPr="00F560D9">
        <w:rPr>
          <w:iCs/>
        </w:rPr>
        <w:t xml:space="preserve">You may change the type of event(s) on the </w:t>
      </w:r>
      <w:r w:rsidRPr="00F560D9">
        <w:rPr>
          <w:i/>
          <w:iCs/>
        </w:rPr>
        <w:t>Initial Notification</w:t>
      </w:r>
      <w:r w:rsidRPr="00F560D9">
        <w:rPr>
          <w:iCs/>
        </w:rPr>
        <w:t xml:space="preserve"> if it turns out that you were incorrect about the type. Updating this field will allow the software to properly assist you in compiling the correct documentation.</w:t>
      </w:r>
    </w:p>
    <w:p w:rsidR="00FB437D" w:rsidRPr="00D2155F" w:rsidRDefault="00FB437D">
      <w:pPr>
        <w:pStyle w:val="BodyText"/>
        <w:spacing w:after="240"/>
        <w:rPr>
          <w:iCs/>
        </w:rPr>
      </w:pPr>
      <w:r w:rsidRPr="00F560D9">
        <w:rPr>
          <w:iCs/>
        </w:rPr>
        <w:t>Enter your ID in the box</w:t>
      </w:r>
      <w:r w:rsidRPr="00E02403">
        <w:rPr>
          <w:iCs/>
          <w:color w:val="000000"/>
        </w:rPr>
        <w:t>es</w:t>
      </w:r>
      <w:r w:rsidRPr="00F560D9">
        <w:rPr>
          <w:iCs/>
        </w:rPr>
        <w:t xml:space="preserve"> provided at the bottom of the form</w:t>
      </w:r>
      <w:r w:rsidR="00D2155F">
        <w:rPr>
          <w:iCs/>
        </w:rPr>
        <w:t xml:space="preserve">. </w:t>
      </w:r>
      <w:r w:rsidR="00BF05A1" w:rsidRPr="00D2155F">
        <w:rPr>
          <w:iCs/>
        </w:rPr>
        <w:t>Enter</w:t>
      </w:r>
      <w:r w:rsidRPr="00D2155F">
        <w:rPr>
          <w:iCs/>
        </w:rPr>
        <w:t xml:space="preserve"> the form </w:t>
      </w:r>
      <w:r w:rsidR="00BF05A1" w:rsidRPr="00D2155F">
        <w:rPr>
          <w:iCs/>
        </w:rPr>
        <w:t>into the EDC</w:t>
      </w:r>
      <w:r w:rsidRPr="00D2155F">
        <w:rPr>
          <w:iCs/>
        </w:rPr>
        <w:t>.</w:t>
      </w:r>
    </w:p>
    <w:p w:rsidR="00422242" w:rsidRDefault="00737F0B" w:rsidP="00422242">
      <w:pPr>
        <w:rPr>
          <w:color w:val="000000"/>
        </w:rPr>
      </w:pPr>
      <w:r w:rsidRPr="00F560D9">
        <w:rPr>
          <w:b/>
          <w:color w:val="000000"/>
        </w:rPr>
        <w:t>Linked Events:</w:t>
      </w:r>
      <w:r w:rsidRPr="00F560D9">
        <w:rPr>
          <w:color w:val="000000"/>
        </w:rPr>
        <w:t xml:space="preserve">  If you have a good reason to believe that the investigation you are initiating is part of a single, extended endpoint episode (e.g., CHF) connected to another investigation involving the same participant, then you may recommend that all of the related investigations be “linked.”  You may consult your Physician Reviewer on such occasions if you like, but your recommendation </w:t>
      </w:r>
      <w:r w:rsidR="00C04BE7" w:rsidRPr="00F560D9">
        <w:rPr>
          <w:color w:val="000000"/>
        </w:rPr>
        <w:t>does not need to be verified.  At the review stage, it is the Physician Reviewers who will determine which investigations are to be officially “linked</w:t>
      </w:r>
      <w:r w:rsidR="00C04BE7" w:rsidRPr="00D2155F">
        <w:t>.”</w:t>
      </w:r>
      <w:r w:rsidRPr="00D2155F">
        <w:t xml:space="preserve"> </w:t>
      </w:r>
      <w:r w:rsidR="00D2155F">
        <w:t xml:space="preserve"> </w:t>
      </w:r>
      <w:r w:rsidR="005D4768" w:rsidRPr="00D2155F">
        <w:t>Y</w:t>
      </w:r>
      <w:r w:rsidR="00C04BE7" w:rsidRPr="00D2155F">
        <w:t>ou</w:t>
      </w:r>
      <w:r w:rsidR="00C04BE7" w:rsidRPr="00F560D9">
        <w:rPr>
          <w:color w:val="000000"/>
        </w:rPr>
        <w:t xml:space="preserve"> should </w:t>
      </w:r>
      <w:r w:rsidRPr="00F560D9">
        <w:rPr>
          <w:color w:val="000000"/>
        </w:rPr>
        <w:t xml:space="preserve">note </w:t>
      </w:r>
      <w:r w:rsidR="00C04BE7" w:rsidRPr="00F560D9">
        <w:rPr>
          <w:color w:val="000000"/>
        </w:rPr>
        <w:t xml:space="preserve">the possible link in the “Investigation Notes” tab </w:t>
      </w:r>
      <w:r w:rsidRPr="00F560D9">
        <w:rPr>
          <w:color w:val="000000"/>
        </w:rPr>
        <w:t xml:space="preserve">in the </w:t>
      </w:r>
      <w:r w:rsidR="00BF05A1" w:rsidRPr="00D2155F">
        <w:t>EDC event</w:t>
      </w:r>
      <w:r w:rsidR="00C04BE7" w:rsidRPr="00F560D9">
        <w:rPr>
          <w:color w:val="000000"/>
        </w:rPr>
        <w:t>; that note</w:t>
      </w:r>
      <w:r w:rsidR="001D0A21">
        <w:rPr>
          <w:color w:val="000000"/>
        </w:rPr>
        <w:t xml:space="preserve"> </w:t>
      </w:r>
      <w:r w:rsidR="00C04BE7" w:rsidRPr="00F560D9">
        <w:rPr>
          <w:color w:val="000000"/>
        </w:rPr>
        <w:t xml:space="preserve">will be seen by the Physician </w:t>
      </w:r>
      <w:r w:rsidR="00C04BE7" w:rsidRPr="00D2155F">
        <w:t>Reviewers</w:t>
      </w:r>
      <w:r w:rsidR="00D2155F">
        <w:t xml:space="preserve">.  </w:t>
      </w:r>
      <w:r w:rsidR="00C04BE7" w:rsidRPr="00D2155F">
        <w:t>MESA</w:t>
      </w:r>
      <w:r w:rsidR="00C04BE7" w:rsidRPr="00F560D9">
        <w:rPr>
          <w:color w:val="000000"/>
        </w:rPr>
        <w:t xml:space="preserve"> policy is to remind the Reviewers to consider “linking” any similar endpoints that occur within 30 days of each other.  All investigations that occur within a 30-day span for the same participant will automatically be sent to review simultaneously, where the Reviewers will make the medical determination whether to link.</w:t>
      </w:r>
    </w:p>
    <w:p w:rsidR="00422242" w:rsidRPr="00422242" w:rsidRDefault="00D2155F" w:rsidP="00422242">
      <w:pPr>
        <w:rPr>
          <w:color w:val="000000"/>
        </w:rPr>
      </w:pPr>
      <w:r>
        <w:rPr>
          <w:b/>
          <w:color w:val="000000"/>
        </w:rPr>
        <w:br w:type="page"/>
      </w:r>
      <w:r w:rsidR="00422242" w:rsidRPr="00422242">
        <w:rPr>
          <w:b/>
          <w:color w:val="000000"/>
        </w:rPr>
        <w:lastRenderedPageBreak/>
        <w:t xml:space="preserve">Combining Events:  </w:t>
      </w:r>
      <w:r w:rsidR="00422242" w:rsidRPr="00422242">
        <w:rPr>
          <w:color w:val="000000"/>
        </w:rPr>
        <w:t xml:space="preserve">Hospitalizations for the </w:t>
      </w:r>
      <w:r w:rsidR="00422242" w:rsidRPr="00422242">
        <w:rPr>
          <w:i/>
          <w:color w:val="000000"/>
        </w:rPr>
        <w:t>same</w:t>
      </w:r>
      <w:r w:rsidR="00422242" w:rsidRPr="00422242">
        <w:rPr>
          <w:color w:val="000000"/>
        </w:rPr>
        <w:t xml:space="preserve"> condition within thirty days of one another may be combined into a single investigation.  The thirty day period refers to the time between the admission dates for the two hospitalizations, not the period from the first discharge to the second admission.</w:t>
      </w:r>
    </w:p>
    <w:p w:rsidR="00422242" w:rsidRPr="00D2155F" w:rsidRDefault="00422242" w:rsidP="00422242">
      <w:r w:rsidRPr="00422242">
        <w:rPr>
          <w:color w:val="000000"/>
        </w:rPr>
        <w:t>Thirty days is given as a guideline; Events Coordinators and Abstractors should use their best judgment as to whether combining the cases will clarify and simplify the investigation(s).  In many situations linking the investigations will be preferable to combining them.</w:t>
      </w:r>
      <w:r w:rsidR="001B6312">
        <w:rPr>
          <w:color w:val="000000"/>
        </w:rPr>
        <w:t xml:space="preserve"> </w:t>
      </w:r>
      <w:r w:rsidR="001B6312" w:rsidRPr="00D2155F">
        <w:t>Consult the CC or the Central Abstractor when in doubt.</w:t>
      </w:r>
    </w:p>
    <w:p w:rsidR="00422242" w:rsidRPr="00D2155F" w:rsidRDefault="00422242" w:rsidP="00422242">
      <w:r w:rsidRPr="00422242">
        <w:rPr>
          <w:color w:val="000000"/>
        </w:rPr>
        <w:t xml:space="preserve">If the investigations are combined, </w:t>
      </w:r>
      <w:r w:rsidR="00BF05A1" w:rsidRPr="00D2155F">
        <w:t>a</w:t>
      </w:r>
      <w:r w:rsidR="001B6312" w:rsidRPr="00D2155F">
        <w:t>n additional</w:t>
      </w:r>
      <w:r w:rsidRPr="00D2155F">
        <w:t xml:space="preserve"> Eligibility Form for the later hospitalization</w:t>
      </w:r>
      <w:r w:rsidR="001B6312" w:rsidRPr="00D2155F">
        <w:t>(s)</w:t>
      </w:r>
      <w:r w:rsidRPr="00D2155F">
        <w:t xml:space="preserve"> should be </w:t>
      </w:r>
      <w:r w:rsidR="00BF05A1" w:rsidRPr="00D2155F">
        <w:t>entered into the same Event in the EDC</w:t>
      </w:r>
      <w:r w:rsidRPr="00D2155F">
        <w:t>.</w:t>
      </w:r>
    </w:p>
    <w:p w:rsidR="00422242" w:rsidRPr="00D2155F" w:rsidRDefault="00422242" w:rsidP="001D0A21">
      <w:pPr>
        <w:numPr>
          <w:ilvl w:val="0"/>
          <w:numId w:val="21"/>
        </w:numPr>
        <w:ind w:left="720"/>
      </w:pPr>
      <w:r w:rsidRPr="00D2155F">
        <w:t>Regardless of whether an investigation includes combined events, a separate abstraction form should be completed for each hospital stay.</w:t>
      </w:r>
    </w:p>
    <w:p w:rsidR="00422242" w:rsidRPr="00D2155F" w:rsidRDefault="00422242" w:rsidP="001D0A21">
      <w:r w:rsidRPr="00D2155F">
        <w:rPr>
          <w:u w:val="single"/>
        </w:rPr>
        <w:t>Cross-Reference</w:t>
      </w:r>
      <w:r w:rsidRPr="00D2155F">
        <w:t xml:space="preserve">: </w:t>
      </w:r>
      <w:r w:rsidR="00F953BD" w:rsidRPr="00D2155F">
        <w:t>Linked/Combined Events</w:t>
      </w:r>
      <w:r w:rsidRPr="00D2155F">
        <w:t xml:space="preserve"> is also discussed in Section 3</w:t>
      </w:r>
      <w:r w:rsidR="001B6312" w:rsidRPr="00D2155F">
        <w:t>, Events Eligibility,</w:t>
      </w:r>
      <w:r w:rsidRPr="00D2155F">
        <w:t xml:space="preserve"> App</w:t>
      </w:r>
      <w:r w:rsidR="00F953BD" w:rsidRPr="00D2155F">
        <w:t>endix</w:t>
      </w:r>
      <w:r w:rsidRPr="00D2155F">
        <w:t xml:space="preserve"> D.</w:t>
      </w:r>
      <w:r w:rsidR="001B6312" w:rsidRPr="00D2155F">
        <w:t>5</w:t>
      </w:r>
      <w:r w:rsidRPr="00D2155F">
        <w:t xml:space="preserve">, </w:t>
      </w:r>
      <w:r w:rsidR="001B6312" w:rsidRPr="00D2155F">
        <w:t>Ho</w:t>
      </w:r>
      <w:r w:rsidR="00F953BD" w:rsidRPr="00D2155F">
        <w:t>spital Abstraction: Cardiac/PVD, and Appendix D.6, Hospital Abstraction:</w:t>
      </w:r>
      <w:r w:rsidR="00BB684D">
        <w:t xml:space="preserve"> </w:t>
      </w:r>
      <w:r w:rsidR="00F953BD" w:rsidRPr="00D2155F">
        <w:t>Stroke/TIA.</w:t>
      </w:r>
    </w:p>
    <w:p w:rsidR="001D0A21" w:rsidRDefault="001D0A21" w:rsidP="001D0A21">
      <w:pPr>
        <w:rPr>
          <w:color w:val="000000"/>
        </w:rPr>
      </w:pPr>
    </w:p>
    <w:p w:rsidR="00FB437D" w:rsidRPr="00F560D9" w:rsidRDefault="00BB684D">
      <w:pPr>
        <w:pStyle w:val="Heading3"/>
      </w:pPr>
      <w:bookmarkStart w:id="115" w:name="_Toc524842532"/>
      <w:bookmarkStart w:id="116" w:name="_Toc524842927"/>
      <w:bookmarkStart w:id="117" w:name="_Toc524843397"/>
      <w:bookmarkStart w:id="118" w:name="_Toc524843643"/>
      <w:bookmarkStart w:id="119" w:name="_Toc524850267"/>
      <w:bookmarkStart w:id="120" w:name="_Toc524850777"/>
      <w:bookmarkStart w:id="121" w:name="_Toc524851061"/>
      <w:bookmarkStart w:id="122" w:name="_Toc524939318"/>
      <w:bookmarkStart w:id="123" w:name="_Toc524939390"/>
      <w:bookmarkStart w:id="124" w:name="_Toc524939487"/>
      <w:bookmarkStart w:id="125" w:name="_Toc524943111"/>
      <w:bookmarkStart w:id="126" w:name="_Toc525025294"/>
      <w:bookmarkStart w:id="127" w:name="_Toc526909527"/>
      <w:bookmarkStart w:id="128" w:name="_Toc526909663"/>
      <w:bookmarkStart w:id="129" w:name="_Toc528031234"/>
      <w:bookmarkStart w:id="130" w:name="_Toc17883268"/>
      <w:r>
        <w:br w:type="page"/>
      </w:r>
      <w:r w:rsidR="00FB437D" w:rsidRPr="00F560D9">
        <w:lastRenderedPageBreak/>
        <w:t>D.2.4</w:t>
      </w:r>
      <w:r w:rsidR="00FB437D" w:rsidRPr="00F560D9">
        <w:tab/>
        <w:t xml:space="preserve">Action Required </w:t>
      </w:r>
      <w:r w:rsidR="00FB437D" w:rsidRPr="00BB684D">
        <w:t xml:space="preserve">After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005D4768" w:rsidRPr="00BB684D">
        <w:t>Initial Notification</w:t>
      </w:r>
      <w:r w:rsidR="005D4768">
        <w:rPr>
          <w:color w:val="00B050"/>
        </w:rPr>
        <w:t xml:space="preserve"> </w:t>
      </w:r>
      <w:r w:rsidR="00FB437D" w:rsidRPr="00F560D9">
        <w:t>Form is Complete</w:t>
      </w:r>
      <w:bookmarkEnd w:id="130"/>
    </w:p>
    <w:p w:rsidR="002E6A8B" w:rsidRPr="002E6A8B" w:rsidRDefault="00FB437D">
      <w:pPr>
        <w:pStyle w:val="StyleBodyTextItalic"/>
      </w:pPr>
      <w:r w:rsidRPr="00F560D9">
        <w:rPr>
          <w:rStyle w:val="StyleBodyTextItalicChar"/>
        </w:rPr>
        <w:t xml:space="preserve">After the </w:t>
      </w:r>
      <w:r w:rsidRPr="00F560D9">
        <w:rPr>
          <w:i/>
        </w:rPr>
        <w:t>Initial Notification of Potential Event/Death</w:t>
      </w:r>
      <w:r w:rsidRPr="00F560D9">
        <w:rPr>
          <w:rStyle w:val="StyleBodyTextItalicChar"/>
          <w:i/>
        </w:rPr>
        <w:t xml:space="preserve"> </w:t>
      </w:r>
      <w:r w:rsidRPr="00F560D9">
        <w:rPr>
          <w:rStyle w:val="StyleBodyTextItalicChar"/>
        </w:rPr>
        <w:t xml:space="preserve">form is completed, field center </w:t>
      </w:r>
      <w:r w:rsidRPr="002E6A8B">
        <w:rPr>
          <w:rStyle w:val="StyleBodyTextItalicChar"/>
        </w:rPr>
        <w:t xml:space="preserve">staff begins to obtain documentation appropriate to the type of event reported, as detailed below. This information is then abstracted </w:t>
      </w:r>
      <w:r w:rsidR="00BB28F8" w:rsidRPr="002E6A8B">
        <w:rPr>
          <w:rStyle w:val="StyleBodyTextItalicChar"/>
        </w:rPr>
        <w:t>and entered into</w:t>
      </w:r>
      <w:r w:rsidRPr="002E6A8B">
        <w:rPr>
          <w:rStyle w:val="StyleBodyTextItalicChar"/>
        </w:rPr>
        <w:t xml:space="preserve"> an </w:t>
      </w:r>
      <w:r w:rsidRPr="002E6A8B">
        <w:rPr>
          <w:i/>
        </w:rPr>
        <w:t>Events Eligibility</w:t>
      </w:r>
      <w:r w:rsidR="00BB28F8" w:rsidRPr="002E6A8B">
        <w:t xml:space="preserve"> form in the EDC.</w:t>
      </w:r>
      <w:r w:rsidRPr="002E6A8B">
        <w:t xml:space="preserve"> </w:t>
      </w:r>
    </w:p>
    <w:p w:rsidR="001D0A21" w:rsidRPr="002E6A8B" w:rsidRDefault="00FB437D">
      <w:pPr>
        <w:pStyle w:val="StyleBodyTextItalic"/>
      </w:pPr>
      <w:r w:rsidRPr="002E6A8B">
        <w:rPr>
          <w:b/>
        </w:rPr>
        <w:t>NOTE</w:t>
      </w:r>
      <w:r w:rsidRPr="002E6A8B">
        <w:t xml:space="preserve">: </w:t>
      </w:r>
      <w:r w:rsidR="00BF05A1" w:rsidRPr="002E6A8B">
        <w:t>Federal law requires a signed HIPAA authorization</w:t>
      </w:r>
      <w:r w:rsidR="00312CF0" w:rsidRPr="002E6A8B">
        <w:t>, which does not expire for research purposes,</w:t>
      </w:r>
      <w:r w:rsidR="00BF05A1" w:rsidRPr="002E6A8B">
        <w:t xml:space="preserve"> for the release</w:t>
      </w:r>
      <w:r w:rsidR="00312CF0" w:rsidRPr="002E6A8B">
        <w:t xml:space="preserve"> of Personal Health Information, and also requires that the release be for the </w:t>
      </w:r>
      <w:r w:rsidR="00E476E1" w:rsidRPr="002E6A8B">
        <w:t>“</w:t>
      </w:r>
      <w:r w:rsidR="00312CF0" w:rsidRPr="002E6A8B">
        <w:t>minimum necessary</w:t>
      </w:r>
      <w:r w:rsidR="00E476E1" w:rsidRPr="002E6A8B">
        <w:t>”</w:t>
      </w:r>
      <w:r w:rsidR="00312CF0" w:rsidRPr="002E6A8B">
        <w:t xml:space="preserve"> records.</w:t>
      </w:r>
      <w:r w:rsidR="00BF05A1" w:rsidRPr="002E6A8B">
        <w:t xml:space="preserve"> </w:t>
      </w:r>
      <w:r w:rsidR="00312CF0" w:rsidRPr="002E6A8B">
        <w:t xml:space="preserve">State laws may be more stringent, and may require a signed Release of Information as well. </w:t>
      </w:r>
      <w:r w:rsidRPr="002E6A8B">
        <w:t xml:space="preserve">Please make sure that all </w:t>
      </w:r>
      <w:r w:rsidR="00063380" w:rsidRPr="002E6A8B">
        <w:t xml:space="preserve">MESA </w:t>
      </w:r>
      <w:r w:rsidRPr="002E6A8B">
        <w:t>consent</w:t>
      </w:r>
      <w:r w:rsidR="00BB28F8" w:rsidRPr="002E6A8B">
        <w:t>/authorization</w:t>
      </w:r>
      <w:r w:rsidRPr="002E6A8B">
        <w:t xml:space="preserve"> forms meet the requirements </w:t>
      </w:r>
      <w:r w:rsidR="00063380" w:rsidRPr="002E6A8B">
        <w:t>of</w:t>
      </w:r>
      <w:r w:rsidRPr="002E6A8B">
        <w:t xml:space="preserve"> your </w:t>
      </w:r>
      <w:r w:rsidR="00063380" w:rsidRPr="002E6A8B">
        <w:t>medical record providers</w:t>
      </w:r>
      <w:r w:rsidR="001D0A21" w:rsidRPr="002E6A8B">
        <w:t>.</w:t>
      </w:r>
    </w:p>
    <w:p w:rsidR="00312CF0" w:rsidRPr="002E6A8B" w:rsidRDefault="00312CF0">
      <w:pPr>
        <w:pStyle w:val="StyleBodyTextItalic"/>
        <w:rPr>
          <w:b/>
        </w:rPr>
      </w:pPr>
      <w:r w:rsidRPr="002E6A8B">
        <w:rPr>
          <w:b/>
        </w:rPr>
        <w:t>For all reported hospitalizations</w:t>
      </w:r>
      <w:r w:rsidR="00E476E1" w:rsidRPr="002E6A8B">
        <w:rPr>
          <w:b/>
        </w:rPr>
        <w:t xml:space="preserve">: </w:t>
      </w:r>
      <w:r w:rsidR="00E476E1" w:rsidRPr="002E6A8B">
        <w:t>Using a two-step method of requesting medical records saves time and effort for both hospital medical records and MESA staff, as well as insuring that the “minimum necessary” personal health information is released to the MESA Study.</w:t>
      </w:r>
      <w:r w:rsidR="008B2C0C" w:rsidRPr="002E6A8B">
        <w:t xml:space="preserve"> </w:t>
      </w:r>
      <w:r w:rsidR="008B2C0C" w:rsidRPr="002E6A8B">
        <w:rPr>
          <w:b/>
        </w:rPr>
        <w:t>See Appendix D.3.1 Events Eligibility for more complete directions.</w:t>
      </w:r>
    </w:p>
    <w:p w:rsidR="00312CF0" w:rsidRPr="002E6A8B" w:rsidRDefault="00E476E1" w:rsidP="00005A2A">
      <w:pPr>
        <w:pStyle w:val="StyleBodyTextItalic"/>
      </w:pPr>
      <w:r w:rsidRPr="002E6A8B">
        <w:rPr>
          <w:b/>
        </w:rPr>
        <w:t xml:space="preserve">Step One: </w:t>
      </w:r>
      <w:r w:rsidR="00312CF0" w:rsidRPr="002E6A8B">
        <w:t xml:space="preserve">The initial request </w:t>
      </w:r>
      <w:r w:rsidR="00562E9B" w:rsidRPr="002E6A8B">
        <w:t xml:space="preserve">for medical records </w:t>
      </w:r>
      <w:r w:rsidR="00312CF0" w:rsidRPr="002E6A8B">
        <w:t xml:space="preserve">should stipulate a date range which covers </w:t>
      </w:r>
      <w:r w:rsidR="00A75AB6" w:rsidRPr="002E6A8B">
        <w:t>the interval</w:t>
      </w:r>
      <w:r w:rsidR="00312CF0" w:rsidRPr="002E6A8B">
        <w:t xml:space="preserve"> since the last participant contact, e.g. from the last follow-up call to the current follow-up call.</w:t>
      </w:r>
      <w:r w:rsidR="00562E9B" w:rsidRPr="002E6A8B">
        <w:t xml:space="preserve"> If the hospital Encounter Summaries report is available, select the dates of all appropriate overnight admissions for the following record requests:</w:t>
      </w:r>
    </w:p>
    <w:p w:rsidR="00005A2A" w:rsidRPr="002E6A8B" w:rsidRDefault="00312CF0" w:rsidP="00005A2A">
      <w:pPr>
        <w:pStyle w:val="StyleBodyTextItalic"/>
        <w:numPr>
          <w:ilvl w:val="0"/>
          <w:numId w:val="30"/>
        </w:numPr>
      </w:pPr>
      <w:r w:rsidRPr="002E6A8B">
        <w:t xml:space="preserve">ICD-10-CM (or ICD-9-CM) hospital discharge summary diagnosis </w:t>
      </w:r>
      <w:r w:rsidRPr="002E6A8B">
        <w:rPr>
          <w:u w:val="single"/>
        </w:rPr>
        <w:t>and</w:t>
      </w:r>
      <w:r w:rsidRPr="002E6A8B">
        <w:t xml:space="preserve"> procedure codes (sometimes called the physician’s attestation) </w:t>
      </w:r>
    </w:p>
    <w:p w:rsidR="00312CF0" w:rsidRPr="002E6A8B" w:rsidRDefault="00005A2A" w:rsidP="00005A2A">
      <w:pPr>
        <w:pStyle w:val="StyleBodyTextItalic"/>
        <w:numPr>
          <w:ilvl w:val="0"/>
          <w:numId w:val="30"/>
        </w:numPr>
      </w:pPr>
      <w:r w:rsidRPr="002E6A8B">
        <w:t>D</w:t>
      </w:r>
      <w:r w:rsidR="00A75AB6" w:rsidRPr="002E6A8B">
        <w:t>ischarge summary or last physician’s progress note if no discharge summary was written due to a short stay.</w:t>
      </w:r>
    </w:p>
    <w:p w:rsidR="00A75AB6" w:rsidRPr="002E6A8B" w:rsidRDefault="00E476E1" w:rsidP="00A75AB6">
      <w:pPr>
        <w:pStyle w:val="StyleBodyTextItalic"/>
      </w:pPr>
      <w:r w:rsidRPr="002E6A8B">
        <w:t>Once the initial records are received,</w:t>
      </w:r>
      <w:r w:rsidR="00A75AB6" w:rsidRPr="002E6A8B">
        <w:t xml:space="preserve"> the ICD codes </w:t>
      </w:r>
      <w:r w:rsidRPr="002E6A8B">
        <w:t>as entered into the Events Eligibility form will determine if</w:t>
      </w:r>
      <w:r w:rsidR="00A75AB6" w:rsidRPr="002E6A8B">
        <w:t xml:space="preserve"> </w:t>
      </w:r>
      <w:r w:rsidRPr="002E6A8B">
        <w:t>the Event is eligible</w:t>
      </w:r>
      <w:r w:rsidR="00562E9B" w:rsidRPr="002E6A8B">
        <w:t xml:space="preserve"> for further investigation</w:t>
      </w:r>
      <w:r w:rsidRPr="002E6A8B">
        <w:t xml:space="preserve">. If </w:t>
      </w:r>
      <w:r w:rsidR="00A75AB6" w:rsidRPr="002E6A8B">
        <w:t xml:space="preserve">the Event is ineligible, </w:t>
      </w:r>
      <w:r w:rsidR="00562E9B" w:rsidRPr="002E6A8B">
        <w:t>no further records are required. Proceed to complete the Final Notification form as “Ineligible Non-CVD.”</w:t>
      </w:r>
    </w:p>
    <w:p w:rsidR="00A75AB6" w:rsidRPr="002E6A8B" w:rsidRDefault="00E476E1" w:rsidP="00A75AB6">
      <w:pPr>
        <w:pStyle w:val="StyleBodyTextItalic"/>
      </w:pPr>
      <w:r w:rsidRPr="002E6A8B">
        <w:rPr>
          <w:b/>
        </w:rPr>
        <w:t xml:space="preserve">Step Two: </w:t>
      </w:r>
      <w:r w:rsidR="00A75AB6" w:rsidRPr="002E6A8B">
        <w:t xml:space="preserve">If the ICD codes indicate that the Event is eligible, </w:t>
      </w:r>
      <w:r w:rsidR="00005A2A" w:rsidRPr="002E6A8B">
        <w:t xml:space="preserve">additional </w:t>
      </w:r>
      <w:r w:rsidR="00A75AB6" w:rsidRPr="002E6A8B">
        <w:t xml:space="preserve">records </w:t>
      </w:r>
      <w:r w:rsidRPr="002E6A8B">
        <w:t>as described in Appendix D.3</w:t>
      </w:r>
      <w:r w:rsidR="00BB02E1" w:rsidRPr="002E6A8B">
        <w:t>.4.1</w:t>
      </w:r>
      <w:r w:rsidRPr="002E6A8B">
        <w:t xml:space="preserve"> Events Eligibil</w:t>
      </w:r>
      <w:r w:rsidR="00BB02E1" w:rsidRPr="002E6A8B">
        <w:t>i</w:t>
      </w:r>
      <w:r w:rsidRPr="002E6A8B">
        <w:t xml:space="preserve">ty </w:t>
      </w:r>
      <w:r w:rsidR="00A75AB6" w:rsidRPr="002E6A8B">
        <w:t>should be requested</w:t>
      </w:r>
      <w:r w:rsidR="008B2C0C" w:rsidRPr="002E6A8B">
        <w:t>.</w:t>
      </w:r>
    </w:p>
    <w:p w:rsidR="00961822" w:rsidRPr="002E6A8B" w:rsidRDefault="00961822" w:rsidP="00A75AB6">
      <w:pPr>
        <w:pStyle w:val="StyleBodyTextItalic"/>
      </w:pPr>
      <w:r w:rsidRPr="002E6A8B">
        <w:t>The advantages of the two-step method of requesting medical records are:</w:t>
      </w:r>
    </w:p>
    <w:p w:rsidR="00961822" w:rsidRPr="002E6A8B" w:rsidRDefault="00961822" w:rsidP="00961822">
      <w:pPr>
        <w:pStyle w:val="StyleBodyTextItalic"/>
        <w:numPr>
          <w:ilvl w:val="0"/>
          <w:numId w:val="31"/>
        </w:numPr>
      </w:pPr>
      <w:r w:rsidRPr="002E6A8B">
        <w:t>Two-thirds of all Events are ineligible</w:t>
      </w:r>
      <w:r w:rsidR="00E82EF2" w:rsidRPr="002E6A8B">
        <w:t xml:space="preserve"> for review</w:t>
      </w:r>
      <w:r w:rsidRPr="002E6A8B">
        <w:t>, therefore, most of the time the codes and discharge summary are the minimum necessary</w:t>
      </w:r>
      <w:r w:rsidR="00BB02E1" w:rsidRPr="002E6A8B">
        <w:t>.</w:t>
      </w:r>
    </w:p>
    <w:p w:rsidR="00961822" w:rsidRPr="002E6A8B" w:rsidRDefault="00961822" w:rsidP="00961822">
      <w:pPr>
        <w:pStyle w:val="StyleBodyTextItalic"/>
        <w:numPr>
          <w:ilvl w:val="0"/>
          <w:numId w:val="31"/>
        </w:numPr>
      </w:pPr>
      <w:r w:rsidRPr="002E6A8B">
        <w:t>Health Information Management (HIM) departments will turn the requests around more quickly, saving time for both their staff and the MESA staff</w:t>
      </w:r>
      <w:r w:rsidR="00BB02E1" w:rsidRPr="002E6A8B">
        <w:t>.</w:t>
      </w:r>
    </w:p>
    <w:p w:rsidR="00961822" w:rsidRPr="002E6A8B" w:rsidRDefault="00961822" w:rsidP="00961822">
      <w:pPr>
        <w:pStyle w:val="StyleBodyTextItalic"/>
        <w:numPr>
          <w:ilvl w:val="0"/>
          <w:numId w:val="31"/>
        </w:numPr>
      </w:pPr>
      <w:r w:rsidRPr="002E6A8B">
        <w:t>Charges for medical records copy fees, where required, will be greatly reduced</w:t>
      </w:r>
      <w:r w:rsidR="00BB02E1" w:rsidRPr="002E6A8B">
        <w:t>.</w:t>
      </w:r>
      <w:r w:rsidRPr="002E6A8B">
        <w:t xml:space="preserve"> </w:t>
      </w:r>
    </w:p>
    <w:p w:rsidR="00961822" w:rsidRPr="002E6A8B" w:rsidRDefault="00961822" w:rsidP="00961822">
      <w:pPr>
        <w:pStyle w:val="StyleBodyTextItalic"/>
        <w:numPr>
          <w:ilvl w:val="0"/>
          <w:numId w:val="31"/>
        </w:numPr>
      </w:pPr>
      <w:r w:rsidRPr="002E6A8B">
        <w:t>The Privacy Act (HIPAA) guidelines for minimum necessary personal health information to be requested/released will be met</w:t>
      </w:r>
      <w:r w:rsidR="00BB02E1" w:rsidRPr="002E6A8B">
        <w:t>.</w:t>
      </w:r>
    </w:p>
    <w:p w:rsidR="00961822" w:rsidRPr="002E6A8B" w:rsidRDefault="00BB02E1" w:rsidP="00BB02E1">
      <w:pPr>
        <w:pStyle w:val="StyleBodyTextItalic"/>
        <w:numPr>
          <w:ilvl w:val="0"/>
          <w:numId w:val="31"/>
        </w:numPr>
      </w:pPr>
      <w:r w:rsidRPr="002E6A8B">
        <w:t>The</w:t>
      </w:r>
      <w:r w:rsidR="00961822" w:rsidRPr="002E6A8B">
        <w:t xml:space="preserve"> Central Abstractors and Physician Reviewers will have all the documents they require for a thorough </w:t>
      </w:r>
      <w:r w:rsidR="007A7155" w:rsidRPr="002E6A8B">
        <w:t>understanding</w:t>
      </w:r>
      <w:r w:rsidR="00961822" w:rsidRPr="002E6A8B">
        <w:t xml:space="preserve"> of the event, without </w:t>
      </w:r>
      <w:r w:rsidR="007A7155" w:rsidRPr="002E6A8B">
        <w:t>unnecessary</w:t>
      </w:r>
      <w:r w:rsidR="00961822" w:rsidRPr="002E6A8B">
        <w:t xml:space="preserve"> documents to delete or </w:t>
      </w:r>
      <w:r w:rsidR="007A7155" w:rsidRPr="002E6A8B">
        <w:t>review.</w:t>
      </w:r>
    </w:p>
    <w:p w:rsidR="00645B02" w:rsidRPr="002E6A8B" w:rsidRDefault="00645B02" w:rsidP="00645B02">
      <w:pPr>
        <w:pStyle w:val="StyleBodyTextItalic"/>
      </w:pPr>
      <w:r w:rsidRPr="002E6A8B">
        <w:rPr>
          <w:b/>
        </w:rPr>
        <w:lastRenderedPageBreak/>
        <w:t>For reported Out-of-Hospital Events</w:t>
      </w:r>
      <w:r w:rsidRPr="002E6A8B">
        <w:t>, including clinic visits, out-patient procedures, and deaths, an attempt should be made to receive relevant documents. If those records cannot be obtained, a Physician’s Questionnaire should be sent out, although the return on those questionnaires is infrequent and often lacking detail when received. The following are records that can be requested from ER visits, clinics, nursing homes and other care facilities, and hospice:</w:t>
      </w:r>
    </w:p>
    <w:p w:rsidR="00700B0E" w:rsidRPr="002E6A8B" w:rsidRDefault="00700B0E" w:rsidP="00645B02">
      <w:pPr>
        <w:pStyle w:val="StyleBodyTextItalic"/>
        <w:numPr>
          <w:ilvl w:val="0"/>
          <w:numId w:val="32"/>
        </w:numPr>
      </w:pPr>
      <w:r w:rsidRPr="002E6A8B">
        <w:rPr>
          <w:b/>
        </w:rPr>
        <w:t>Clinic Progress Notes and Procedures</w:t>
      </w:r>
    </w:p>
    <w:p w:rsidR="00700B0E" w:rsidRPr="002E6A8B" w:rsidRDefault="00700B0E" w:rsidP="00700B0E">
      <w:pPr>
        <w:pStyle w:val="StyleBodyTextItalic"/>
        <w:numPr>
          <w:ilvl w:val="0"/>
          <w:numId w:val="32"/>
        </w:numPr>
        <w:rPr>
          <w:b/>
        </w:rPr>
      </w:pPr>
      <w:r w:rsidRPr="002E6A8B">
        <w:rPr>
          <w:b/>
        </w:rPr>
        <w:t>*ER Physician Notes, Procedures, EMS Reports</w:t>
      </w:r>
    </w:p>
    <w:p w:rsidR="00645B02" w:rsidRPr="002E6A8B" w:rsidRDefault="00700B0E" w:rsidP="00645B02">
      <w:pPr>
        <w:pStyle w:val="StyleBodyTextItalic"/>
        <w:numPr>
          <w:ilvl w:val="0"/>
          <w:numId w:val="32"/>
        </w:numPr>
      </w:pPr>
      <w:r w:rsidRPr="002E6A8B">
        <w:rPr>
          <w:b/>
        </w:rPr>
        <w:t xml:space="preserve">*Residential Care/Hospice Admission History and Physical, </w:t>
      </w:r>
      <w:r w:rsidR="00645B02" w:rsidRPr="002E6A8B">
        <w:rPr>
          <w:b/>
        </w:rPr>
        <w:t>Progress Notes</w:t>
      </w:r>
      <w:r w:rsidRPr="002E6A8B">
        <w:rPr>
          <w:b/>
        </w:rPr>
        <w:t xml:space="preserve"> and Physician Consults</w:t>
      </w:r>
    </w:p>
    <w:p w:rsidR="00700B0E" w:rsidRPr="002E6A8B" w:rsidRDefault="00700B0E" w:rsidP="00700B0E">
      <w:pPr>
        <w:pStyle w:val="StyleBodyTextItalic"/>
        <w:ind w:left="720"/>
      </w:pPr>
      <w:r w:rsidRPr="002E6A8B">
        <w:t>*These records are most frequently requested in the case of an out-of-hospital death. In the case of a death in care, it is advisable to ask only for the last consult and the last progress notes before the death. If the participant has not been recently contacted, it may be helpful to also ask for the care facility admission history and physical.</w:t>
      </w:r>
    </w:p>
    <w:p w:rsidR="00312CF0" w:rsidRPr="002E6A8B" w:rsidRDefault="00CB0188">
      <w:pPr>
        <w:pStyle w:val="StyleBodyTextItalic"/>
      </w:pPr>
      <w:r w:rsidRPr="002E6A8B">
        <w:t xml:space="preserve">The following </w:t>
      </w:r>
      <w:r w:rsidRPr="002E6A8B">
        <w:rPr>
          <w:b/>
        </w:rPr>
        <w:t>Table</w:t>
      </w:r>
      <w:r w:rsidRPr="002E6A8B">
        <w:t xml:space="preserve"> lists the types of events to be investigated, and the records necessary to complete the investigation:</w:t>
      </w:r>
    </w:p>
    <w:p w:rsidR="001D0A21" w:rsidRPr="002E6A8B" w:rsidRDefault="001D0A21">
      <w:pPr>
        <w:pStyle w:val="StyleBodyTextItalic"/>
      </w:pPr>
    </w:p>
    <w:tbl>
      <w:tblPr>
        <w:tblW w:w="8624" w:type="dxa"/>
        <w:tblInd w:w="108" w:type="dxa"/>
        <w:tblLayout w:type="fixed"/>
        <w:tblLook w:val="0000" w:firstRow="0" w:lastRow="0" w:firstColumn="0" w:lastColumn="0" w:noHBand="0" w:noVBand="0"/>
      </w:tblPr>
      <w:tblGrid>
        <w:gridCol w:w="3773"/>
        <w:gridCol w:w="4851"/>
      </w:tblGrid>
      <w:tr w:rsidR="00FB437D" w:rsidRPr="002E6A8B" w:rsidTr="001D0A21">
        <w:trPr>
          <w:trHeight w:val="349"/>
        </w:trPr>
        <w:tc>
          <w:tcPr>
            <w:tcW w:w="3773" w:type="dxa"/>
            <w:tcBorders>
              <w:bottom w:val="single" w:sz="4" w:space="0" w:color="auto"/>
            </w:tcBorders>
          </w:tcPr>
          <w:p w:rsidR="00FB437D" w:rsidRPr="002E6A8B" w:rsidRDefault="00FB437D">
            <w:pPr>
              <w:keepNext/>
              <w:spacing w:beforeLines="20" w:before="48" w:after="20"/>
              <w:ind w:right="-360"/>
              <w:rPr>
                <w:b/>
              </w:rPr>
            </w:pPr>
            <w:r w:rsidRPr="002E6A8B">
              <w:rPr>
                <w:b/>
              </w:rPr>
              <w:t>Type of Event</w:t>
            </w:r>
          </w:p>
        </w:tc>
        <w:tc>
          <w:tcPr>
            <w:tcW w:w="4851" w:type="dxa"/>
            <w:tcBorders>
              <w:bottom w:val="single" w:sz="4" w:space="0" w:color="auto"/>
            </w:tcBorders>
          </w:tcPr>
          <w:p w:rsidR="00FB437D" w:rsidRPr="002E6A8B" w:rsidRDefault="00A75AB6">
            <w:pPr>
              <w:keepNext/>
              <w:spacing w:beforeLines="20" w:before="48" w:after="20"/>
              <w:ind w:right="-360"/>
              <w:rPr>
                <w:b/>
              </w:rPr>
            </w:pPr>
            <w:r w:rsidRPr="002E6A8B">
              <w:rPr>
                <w:b/>
              </w:rPr>
              <w:t>Records Required</w:t>
            </w:r>
          </w:p>
        </w:tc>
      </w:tr>
      <w:tr w:rsidR="00FB437D" w:rsidRPr="002E6A8B" w:rsidTr="001D0A21">
        <w:trPr>
          <w:trHeight w:val="315"/>
        </w:trPr>
        <w:tc>
          <w:tcPr>
            <w:tcW w:w="3773" w:type="dxa"/>
            <w:tcBorders>
              <w:top w:val="single" w:sz="4" w:space="0" w:color="auto"/>
            </w:tcBorders>
          </w:tcPr>
          <w:p w:rsidR="00FB437D" w:rsidRPr="002E6A8B" w:rsidRDefault="00FB437D">
            <w:pPr>
              <w:spacing w:beforeLines="20" w:before="48" w:after="20"/>
              <w:ind w:right="-720"/>
              <w:rPr>
                <w:sz w:val="22"/>
                <w:szCs w:val="22"/>
              </w:rPr>
            </w:pPr>
            <w:r w:rsidRPr="002E6A8B">
              <w:rPr>
                <w:sz w:val="22"/>
                <w:szCs w:val="22"/>
              </w:rPr>
              <w:t>Hospitalized cardiac/</w:t>
            </w:r>
            <w:r w:rsidR="00312CF0" w:rsidRPr="002E6A8B">
              <w:rPr>
                <w:sz w:val="22"/>
                <w:szCs w:val="22"/>
              </w:rPr>
              <w:t>PAD/</w:t>
            </w:r>
            <w:r w:rsidRPr="002E6A8B">
              <w:rPr>
                <w:sz w:val="22"/>
                <w:szCs w:val="22"/>
              </w:rPr>
              <w:t>PVD event</w:t>
            </w:r>
          </w:p>
        </w:tc>
        <w:tc>
          <w:tcPr>
            <w:tcW w:w="4851" w:type="dxa"/>
            <w:tcBorders>
              <w:top w:val="single" w:sz="4" w:space="0" w:color="auto"/>
            </w:tcBorders>
          </w:tcPr>
          <w:p w:rsidR="00FB437D" w:rsidRPr="002E6A8B" w:rsidRDefault="00A75AB6" w:rsidP="00A75AB6">
            <w:pPr>
              <w:spacing w:beforeLines="20" w:before="48" w:after="20"/>
              <w:ind w:right="-720"/>
              <w:rPr>
                <w:sz w:val="22"/>
                <w:szCs w:val="22"/>
              </w:rPr>
            </w:pPr>
            <w:r w:rsidRPr="002E6A8B">
              <w:rPr>
                <w:sz w:val="22"/>
                <w:szCs w:val="22"/>
              </w:rPr>
              <w:t>Discharge summary</w:t>
            </w:r>
            <w:r w:rsidR="00FB437D" w:rsidRPr="002E6A8B">
              <w:rPr>
                <w:sz w:val="22"/>
                <w:szCs w:val="22"/>
              </w:rPr>
              <w:t xml:space="preserve"> ICD</w:t>
            </w:r>
            <w:r w:rsidRPr="002E6A8B">
              <w:rPr>
                <w:sz w:val="22"/>
                <w:szCs w:val="22"/>
              </w:rPr>
              <w:t xml:space="preserve"> </w:t>
            </w:r>
            <w:r w:rsidR="00FB437D" w:rsidRPr="002E6A8B">
              <w:rPr>
                <w:sz w:val="22"/>
                <w:szCs w:val="22"/>
              </w:rPr>
              <w:t>codes and medical records</w:t>
            </w:r>
          </w:p>
        </w:tc>
      </w:tr>
      <w:tr w:rsidR="00FB437D" w:rsidRPr="002E6A8B" w:rsidTr="001D0A21">
        <w:trPr>
          <w:trHeight w:val="332"/>
        </w:trPr>
        <w:tc>
          <w:tcPr>
            <w:tcW w:w="3773" w:type="dxa"/>
          </w:tcPr>
          <w:p w:rsidR="00FB437D" w:rsidRPr="002E6A8B" w:rsidRDefault="00FB437D">
            <w:pPr>
              <w:spacing w:beforeLines="20" w:before="48" w:after="20"/>
              <w:ind w:right="-720"/>
              <w:rPr>
                <w:sz w:val="22"/>
                <w:szCs w:val="22"/>
              </w:rPr>
            </w:pPr>
            <w:r w:rsidRPr="002E6A8B">
              <w:rPr>
                <w:sz w:val="22"/>
                <w:szCs w:val="22"/>
              </w:rPr>
              <w:t>Hospitalized cerebrovascular event</w:t>
            </w:r>
          </w:p>
        </w:tc>
        <w:tc>
          <w:tcPr>
            <w:tcW w:w="4851" w:type="dxa"/>
          </w:tcPr>
          <w:p w:rsidR="00FB437D" w:rsidRPr="002E6A8B" w:rsidRDefault="00A75AB6" w:rsidP="00A75AB6">
            <w:pPr>
              <w:spacing w:beforeLines="20" w:before="48" w:after="20"/>
              <w:ind w:right="-720"/>
              <w:rPr>
                <w:sz w:val="22"/>
                <w:szCs w:val="22"/>
              </w:rPr>
            </w:pPr>
            <w:r w:rsidRPr="002E6A8B">
              <w:rPr>
                <w:sz w:val="22"/>
                <w:szCs w:val="22"/>
              </w:rPr>
              <w:t>D</w:t>
            </w:r>
            <w:r w:rsidR="00FB437D" w:rsidRPr="002E6A8B">
              <w:rPr>
                <w:sz w:val="22"/>
                <w:szCs w:val="22"/>
              </w:rPr>
              <w:t>ischarge</w:t>
            </w:r>
            <w:r w:rsidRPr="002E6A8B">
              <w:rPr>
                <w:sz w:val="22"/>
                <w:szCs w:val="22"/>
              </w:rPr>
              <w:t xml:space="preserve"> summary</w:t>
            </w:r>
            <w:r w:rsidR="00FB437D" w:rsidRPr="002E6A8B">
              <w:rPr>
                <w:sz w:val="22"/>
                <w:szCs w:val="22"/>
              </w:rPr>
              <w:t xml:space="preserve"> ICD</w:t>
            </w:r>
            <w:r w:rsidRPr="002E6A8B">
              <w:rPr>
                <w:sz w:val="22"/>
                <w:szCs w:val="22"/>
              </w:rPr>
              <w:t xml:space="preserve"> </w:t>
            </w:r>
            <w:r w:rsidR="00FB437D" w:rsidRPr="002E6A8B">
              <w:rPr>
                <w:sz w:val="22"/>
                <w:szCs w:val="22"/>
              </w:rPr>
              <w:t>codes and medical records</w:t>
            </w:r>
          </w:p>
        </w:tc>
      </w:tr>
      <w:tr w:rsidR="00FB437D" w:rsidRPr="002E6A8B" w:rsidTr="001D0A21">
        <w:trPr>
          <w:trHeight w:val="580"/>
        </w:trPr>
        <w:tc>
          <w:tcPr>
            <w:tcW w:w="3773" w:type="dxa"/>
          </w:tcPr>
          <w:p w:rsidR="00FB437D" w:rsidRPr="002E6A8B" w:rsidRDefault="00FB437D">
            <w:pPr>
              <w:spacing w:beforeLines="20" w:before="48" w:after="20"/>
              <w:ind w:right="-720"/>
              <w:rPr>
                <w:sz w:val="22"/>
                <w:szCs w:val="22"/>
              </w:rPr>
            </w:pPr>
            <w:r w:rsidRPr="002E6A8B">
              <w:rPr>
                <w:sz w:val="22"/>
                <w:szCs w:val="22"/>
              </w:rPr>
              <w:t>Other hospitalizations</w:t>
            </w:r>
          </w:p>
        </w:tc>
        <w:tc>
          <w:tcPr>
            <w:tcW w:w="4851" w:type="dxa"/>
          </w:tcPr>
          <w:p w:rsidR="00A75AB6" w:rsidRPr="002E6A8B" w:rsidRDefault="00A75AB6" w:rsidP="00A75AB6">
            <w:pPr>
              <w:spacing w:beforeLines="20" w:before="48" w:after="20"/>
              <w:ind w:right="-720"/>
              <w:rPr>
                <w:sz w:val="22"/>
                <w:szCs w:val="22"/>
              </w:rPr>
            </w:pPr>
            <w:r w:rsidRPr="002E6A8B">
              <w:rPr>
                <w:sz w:val="22"/>
                <w:szCs w:val="22"/>
              </w:rPr>
              <w:t>D</w:t>
            </w:r>
            <w:r w:rsidR="00FB437D" w:rsidRPr="002E6A8B">
              <w:rPr>
                <w:sz w:val="22"/>
                <w:szCs w:val="22"/>
              </w:rPr>
              <w:t xml:space="preserve">ischarge </w:t>
            </w:r>
            <w:r w:rsidR="008D7AFD" w:rsidRPr="002E6A8B">
              <w:rPr>
                <w:sz w:val="22"/>
                <w:szCs w:val="22"/>
              </w:rPr>
              <w:t xml:space="preserve">summary </w:t>
            </w:r>
            <w:r w:rsidR="00FB437D" w:rsidRPr="002E6A8B">
              <w:rPr>
                <w:sz w:val="22"/>
                <w:szCs w:val="22"/>
              </w:rPr>
              <w:t>ICD</w:t>
            </w:r>
            <w:r w:rsidRPr="002E6A8B">
              <w:rPr>
                <w:sz w:val="22"/>
                <w:szCs w:val="22"/>
              </w:rPr>
              <w:t xml:space="preserve"> codes and discharge </w:t>
            </w:r>
            <w:r w:rsidR="00FB437D" w:rsidRPr="002E6A8B">
              <w:rPr>
                <w:sz w:val="22"/>
                <w:szCs w:val="22"/>
              </w:rPr>
              <w:t xml:space="preserve"> </w:t>
            </w:r>
          </w:p>
          <w:p w:rsidR="00FB437D" w:rsidRPr="002E6A8B" w:rsidRDefault="009F3AAB" w:rsidP="00A75AB6">
            <w:pPr>
              <w:spacing w:beforeLines="20" w:before="48" w:after="20"/>
              <w:ind w:right="-720"/>
              <w:rPr>
                <w:sz w:val="22"/>
                <w:szCs w:val="22"/>
              </w:rPr>
            </w:pPr>
            <w:r w:rsidRPr="002E6A8B">
              <w:rPr>
                <w:sz w:val="22"/>
                <w:szCs w:val="22"/>
              </w:rPr>
              <w:t xml:space="preserve">   </w:t>
            </w:r>
            <w:r w:rsidR="008D7AFD" w:rsidRPr="002E6A8B">
              <w:rPr>
                <w:sz w:val="22"/>
                <w:szCs w:val="22"/>
              </w:rPr>
              <w:t xml:space="preserve">summary or </w:t>
            </w:r>
            <w:r w:rsidR="00A75AB6" w:rsidRPr="002E6A8B">
              <w:rPr>
                <w:sz w:val="22"/>
                <w:szCs w:val="22"/>
              </w:rPr>
              <w:t xml:space="preserve">last physician’s progress note </w:t>
            </w:r>
            <w:r w:rsidR="00FB437D" w:rsidRPr="002E6A8B">
              <w:rPr>
                <w:sz w:val="22"/>
                <w:szCs w:val="22"/>
              </w:rPr>
              <w:t>only</w:t>
            </w:r>
          </w:p>
        </w:tc>
      </w:tr>
      <w:tr w:rsidR="00FB437D" w:rsidRPr="002E6A8B" w:rsidTr="001D0A21">
        <w:trPr>
          <w:trHeight w:val="563"/>
        </w:trPr>
        <w:tc>
          <w:tcPr>
            <w:tcW w:w="3773" w:type="dxa"/>
          </w:tcPr>
          <w:p w:rsidR="00FB437D" w:rsidRPr="002E6A8B" w:rsidRDefault="00FB437D">
            <w:pPr>
              <w:spacing w:beforeLines="20" w:before="48" w:after="20"/>
              <w:ind w:right="-720"/>
              <w:rPr>
                <w:sz w:val="22"/>
                <w:szCs w:val="22"/>
              </w:rPr>
            </w:pPr>
            <w:r w:rsidRPr="002E6A8B">
              <w:rPr>
                <w:sz w:val="22"/>
                <w:szCs w:val="22"/>
              </w:rPr>
              <w:t>Any death</w:t>
            </w:r>
          </w:p>
        </w:tc>
        <w:tc>
          <w:tcPr>
            <w:tcW w:w="4851" w:type="dxa"/>
          </w:tcPr>
          <w:p w:rsidR="00A75AB6" w:rsidRPr="002E6A8B" w:rsidRDefault="009F3AAB" w:rsidP="00CC17DA">
            <w:pPr>
              <w:pStyle w:val="NoSpacing"/>
              <w:rPr>
                <w:sz w:val="22"/>
                <w:szCs w:val="22"/>
              </w:rPr>
            </w:pPr>
            <w:r w:rsidRPr="002E6A8B">
              <w:rPr>
                <w:sz w:val="22"/>
                <w:szCs w:val="22"/>
              </w:rPr>
              <w:t>Death</w:t>
            </w:r>
            <w:r w:rsidR="00FB437D" w:rsidRPr="002E6A8B">
              <w:rPr>
                <w:sz w:val="22"/>
                <w:szCs w:val="22"/>
              </w:rPr>
              <w:t xml:space="preserve"> certificate </w:t>
            </w:r>
            <w:r w:rsidR="00A75AB6" w:rsidRPr="002E6A8B">
              <w:rPr>
                <w:sz w:val="22"/>
                <w:szCs w:val="22"/>
              </w:rPr>
              <w:t>with</w:t>
            </w:r>
            <w:r w:rsidRPr="002E6A8B">
              <w:rPr>
                <w:sz w:val="22"/>
                <w:szCs w:val="22"/>
              </w:rPr>
              <w:t xml:space="preserve"> cause of death </w:t>
            </w:r>
            <w:r w:rsidR="00FB437D" w:rsidRPr="002E6A8B">
              <w:rPr>
                <w:sz w:val="22"/>
                <w:szCs w:val="22"/>
              </w:rPr>
              <w:t>ICD-10 codes</w:t>
            </w:r>
            <w:r w:rsidR="00A75AB6" w:rsidRPr="002E6A8B">
              <w:rPr>
                <w:sz w:val="22"/>
                <w:szCs w:val="22"/>
              </w:rPr>
              <w:t xml:space="preserve"> </w:t>
            </w:r>
            <w:r w:rsidRPr="002E6A8B">
              <w:rPr>
                <w:sz w:val="22"/>
                <w:szCs w:val="22"/>
              </w:rPr>
              <w:t xml:space="preserve">      </w:t>
            </w:r>
            <w:r w:rsidR="00A75AB6" w:rsidRPr="002E6A8B">
              <w:rPr>
                <w:sz w:val="22"/>
                <w:szCs w:val="22"/>
              </w:rPr>
              <w:t>and hospital/</w:t>
            </w:r>
            <w:r w:rsidR="00CC17DA" w:rsidRPr="002E6A8B">
              <w:rPr>
                <w:sz w:val="22"/>
                <w:szCs w:val="22"/>
              </w:rPr>
              <w:t>out-of-hospital</w:t>
            </w:r>
            <w:r w:rsidRPr="002E6A8B">
              <w:rPr>
                <w:sz w:val="22"/>
                <w:szCs w:val="22"/>
              </w:rPr>
              <w:t xml:space="preserve">  </w:t>
            </w:r>
            <w:r w:rsidR="00CC17DA" w:rsidRPr="002E6A8B">
              <w:rPr>
                <w:sz w:val="22"/>
                <w:szCs w:val="22"/>
              </w:rPr>
              <w:t>records as</w:t>
            </w:r>
            <w:r w:rsidRPr="002E6A8B">
              <w:rPr>
                <w:sz w:val="22"/>
                <w:szCs w:val="22"/>
              </w:rPr>
              <w:t xml:space="preserve"> </w:t>
            </w:r>
            <w:r w:rsidR="00A75AB6" w:rsidRPr="002E6A8B">
              <w:rPr>
                <w:sz w:val="22"/>
                <w:szCs w:val="22"/>
              </w:rPr>
              <w:t>appropriate</w:t>
            </w:r>
          </w:p>
        </w:tc>
      </w:tr>
      <w:tr w:rsidR="00FB437D" w:rsidRPr="002E6A8B" w:rsidTr="001D0A21">
        <w:trPr>
          <w:trHeight w:val="647"/>
        </w:trPr>
        <w:tc>
          <w:tcPr>
            <w:tcW w:w="3773" w:type="dxa"/>
          </w:tcPr>
          <w:p w:rsidR="00FB437D" w:rsidRPr="002E6A8B" w:rsidRDefault="00FB437D" w:rsidP="009F3AAB">
            <w:pPr>
              <w:spacing w:beforeLines="20" w:before="48" w:after="20"/>
              <w:ind w:right="-720"/>
              <w:rPr>
                <w:sz w:val="22"/>
                <w:szCs w:val="22"/>
              </w:rPr>
            </w:pPr>
            <w:r w:rsidRPr="002E6A8B">
              <w:rPr>
                <w:sz w:val="22"/>
                <w:szCs w:val="22"/>
              </w:rPr>
              <w:t>Outpatient cardiac/</w:t>
            </w:r>
            <w:r w:rsidR="009F3AAB" w:rsidRPr="002E6A8B">
              <w:rPr>
                <w:sz w:val="22"/>
                <w:szCs w:val="22"/>
              </w:rPr>
              <w:t>PAD/</w:t>
            </w:r>
            <w:r w:rsidRPr="002E6A8B">
              <w:rPr>
                <w:sz w:val="22"/>
                <w:szCs w:val="22"/>
              </w:rPr>
              <w:t xml:space="preserve">PVD nonfatal </w:t>
            </w:r>
          </w:p>
          <w:p w:rsidR="009F3AAB" w:rsidRPr="002E6A8B" w:rsidRDefault="009F3AAB" w:rsidP="009F3AAB">
            <w:pPr>
              <w:spacing w:beforeLines="20" w:before="48" w:after="20"/>
              <w:ind w:right="-720"/>
              <w:rPr>
                <w:sz w:val="22"/>
                <w:szCs w:val="22"/>
              </w:rPr>
            </w:pPr>
            <w:r w:rsidRPr="002E6A8B">
              <w:rPr>
                <w:sz w:val="22"/>
                <w:szCs w:val="22"/>
              </w:rPr>
              <w:t xml:space="preserve">   Event</w:t>
            </w:r>
          </w:p>
        </w:tc>
        <w:tc>
          <w:tcPr>
            <w:tcW w:w="4851" w:type="dxa"/>
          </w:tcPr>
          <w:p w:rsidR="00FB437D" w:rsidRPr="002E6A8B" w:rsidRDefault="009F3AAB">
            <w:pPr>
              <w:spacing w:beforeLines="20" w:before="48" w:after="20"/>
              <w:ind w:right="-720"/>
              <w:rPr>
                <w:sz w:val="22"/>
                <w:szCs w:val="22"/>
              </w:rPr>
            </w:pPr>
            <w:r w:rsidRPr="002E6A8B">
              <w:rPr>
                <w:sz w:val="22"/>
                <w:szCs w:val="22"/>
              </w:rPr>
              <w:t>Records</w:t>
            </w:r>
            <w:r w:rsidR="00FB437D" w:rsidRPr="002E6A8B">
              <w:rPr>
                <w:sz w:val="22"/>
                <w:szCs w:val="22"/>
              </w:rPr>
              <w:t xml:space="preserve"> from outpatient facility</w:t>
            </w:r>
            <w:r w:rsidR="00FB437D" w:rsidRPr="002E6A8B">
              <w:rPr>
                <w:sz w:val="22"/>
                <w:szCs w:val="22"/>
                <w:vertAlign w:val="superscript"/>
              </w:rPr>
              <w:t>1</w:t>
            </w:r>
            <w:r w:rsidR="00FB437D" w:rsidRPr="002E6A8B">
              <w:rPr>
                <w:sz w:val="22"/>
                <w:szCs w:val="22"/>
              </w:rPr>
              <w:t>. If necessary,</w:t>
            </w:r>
          </w:p>
          <w:p w:rsidR="00FB437D" w:rsidRPr="002E6A8B" w:rsidRDefault="009F3AAB">
            <w:pPr>
              <w:spacing w:beforeLines="20" w:before="48" w:after="20"/>
              <w:ind w:right="-720"/>
              <w:rPr>
                <w:sz w:val="22"/>
                <w:szCs w:val="22"/>
              </w:rPr>
            </w:pPr>
            <w:r w:rsidRPr="002E6A8B">
              <w:rPr>
                <w:sz w:val="22"/>
                <w:szCs w:val="22"/>
              </w:rPr>
              <w:t xml:space="preserve">   o</w:t>
            </w:r>
            <w:r w:rsidR="00FB437D" w:rsidRPr="002E6A8B">
              <w:rPr>
                <w:sz w:val="22"/>
                <w:szCs w:val="22"/>
              </w:rPr>
              <w:t xml:space="preserve">btain </w:t>
            </w:r>
            <w:r w:rsidR="00FB437D" w:rsidRPr="002E6A8B">
              <w:rPr>
                <w:i/>
                <w:sz w:val="22"/>
                <w:szCs w:val="22"/>
              </w:rPr>
              <w:t>Physician Questionnaire for Cardiac/PVD</w:t>
            </w:r>
          </w:p>
        </w:tc>
      </w:tr>
      <w:tr w:rsidR="00FB437D" w:rsidRPr="002E6A8B" w:rsidTr="001D0A21">
        <w:trPr>
          <w:trHeight w:val="647"/>
        </w:trPr>
        <w:tc>
          <w:tcPr>
            <w:tcW w:w="3773" w:type="dxa"/>
          </w:tcPr>
          <w:p w:rsidR="00FB437D" w:rsidRPr="002E6A8B" w:rsidRDefault="00FB437D" w:rsidP="009F3AAB">
            <w:pPr>
              <w:spacing w:beforeLines="20" w:before="48" w:after="20"/>
              <w:ind w:right="-720"/>
              <w:rPr>
                <w:sz w:val="22"/>
                <w:szCs w:val="22"/>
              </w:rPr>
            </w:pPr>
            <w:r w:rsidRPr="002E6A8B">
              <w:rPr>
                <w:sz w:val="22"/>
                <w:szCs w:val="22"/>
              </w:rPr>
              <w:t xml:space="preserve">Outpatient cerebrovascular nonfatal </w:t>
            </w:r>
          </w:p>
          <w:p w:rsidR="009F3AAB" w:rsidRPr="002E6A8B" w:rsidRDefault="009F3AAB" w:rsidP="009F3AAB">
            <w:pPr>
              <w:spacing w:beforeLines="20" w:before="48" w:after="20"/>
              <w:ind w:right="-720"/>
              <w:rPr>
                <w:sz w:val="22"/>
                <w:szCs w:val="22"/>
              </w:rPr>
            </w:pPr>
            <w:r w:rsidRPr="002E6A8B">
              <w:rPr>
                <w:sz w:val="22"/>
                <w:szCs w:val="22"/>
              </w:rPr>
              <w:t xml:space="preserve">   Event</w:t>
            </w:r>
          </w:p>
        </w:tc>
        <w:tc>
          <w:tcPr>
            <w:tcW w:w="4851" w:type="dxa"/>
          </w:tcPr>
          <w:p w:rsidR="00FB437D" w:rsidRPr="002E6A8B" w:rsidRDefault="00FB437D">
            <w:pPr>
              <w:spacing w:beforeLines="20" w:before="48" w:after="20"/>
              <w:ind w:right="-720"/>
              <w:rPr>
                <w:sz w:val="22"/>
                <w:szCs w:val="22"/>
              </w:rPr>
            </w:pPr>
            <w:r w:rsidRPr="002E6A8B">
              <w:rPr>
                <w:sz w:val="22"/>
                <w:szCs w:val="22"/>
              </w:rPr>
              <w:t>Request records from outpatient facility</w:t>
            </w:r>
            <w:r w:rsidRPr="002E6A8B">
              <w:rPr>
                <w:sz w:val="22"/>
                <w:szCs w:val="22"/>
                <w:vertAlign w:val="superscript"/>
              </w:rPr>
              <w:t>1</w:t>
            </w:r>
            <w:r w:rsidRPr="002E6A8B">
              <w:rPr>
                <w:sz w:val="22"/>
                <w:szCs w:val="22"/>
              </w:rPr>
              <w:t>.</w:t>
            </w:r>
            <w:r w:rsidR="008D7AFD" w:rsidRPr="002E6A8B">
              <w:rPr>
                <w:sz w:val="22"/>
                <w:szCs w:val="22"/>
              </w:rPr>
              <w:t xml:space="preserve"> If</w:t>
            </w:r>
          </w:p>
          <w:p w:rsidR="00FB437D" w:rsidRPr="002E6A8B" w:rsidRDefault="009F3AAB">
            <w:pPr>
              <w:spacing w:beforeLines="20" w:before="48" w:after="20"/>
              <w:ind w:right="-720"/>
              <w:rPr>
                <w:i/>
                <w:sz w:val="22"/>
                <w:szCs w:val="22"/>
              </w:rPr>
            </w:pPr>
            <w:r w:rsidRPr="002E6A8B">
              <w:rPr>
                <w:sz w:val="22"/>
                <w:szCs w:val="22"/>
              </w:rPr>
              <w:t xml:space="preserve">   </w:t>
            </w:r>
            <w:r w:rsidR="008D7AFD" w:rsidRPr="002E6A8B">
              <w:rPr>
                <w:sz w:val="22"/>
                <w:szCs w:val="22"/>
              </w:rPr>
              <w:t xml:space="preserve">necessary, </w:t>
            </w:r>
            <w:r w:rsidRPr="002E6A8B">
              <w:rPr>
                <w:sz w:val="22"/>
                <w:szCs w:val="22"/>
              </w:rPr>
              <w:t>o</w:t>
            </w:r>
            <w:r w:rsidR="00FB437D" w:rsidRPr="002E6A8B">
              <w:rPr>
                <w:sz w:val="22"/>
                <w:szCs w:val="22"/>
              </w:rPr>
              <w:t xml:space="preserve">btain </w:t>
            </w:r>
            <w:r w:rsidR="008D7AFD" w:rsidRPr="002E6A8B">
              <w:rPr>
                <w:i/>
                <w:sz w:val="22"/>
                <w:szCs w:val="22"/>
              </w:rPr>
              <w:t xml:space="preserve">Physician Questionnaire for </w:t>
            </w:r>
          </w:p>
          <w:p w:rsidR="008D7AFD" w:rsidRPr="002E6A8B" w:rsidRDefault="008D7AFD">
            <w:pPr>
              <w:spacing w:beforeLines="20" w:before="48" w:after="20"/>
              <w:ind w:right="-720"/>
              <w:rPr>
                <w:sz w:val="22"/>
                <w:szCs w:val="22"/>
              </w:rPr>
            </w:pPr>
            <w:r w:rsidRPr="002E6A8B">
              <w:rPr>
                <w:i/>
                <w:sz w:val="22"/>
                <w:szCs w:val="22"/>
              </w:rPr>
              <w:t xml:space="preserve">   Stroke/TIA</w:t>
            </w:r>
          </w:p>
        </w:tc>
      </w:tr>
    </w:tbl>
    <w:p w:rsidR="00FB437D" w:rsidRPr="002E6A8B" w:rsidRDefault="00FB437D">
      <w:pPr>
        <w:pStyle w:val="Footer"/>
        <w:tabs>
          <w:tab w:val="clear" w:pos="4320"/>
          <w:tab w:val="clear" w:pos="8640"/>
        </w:tabs>
        <w:spacing w:before="240"/>
        <w:rPr>
          <w:sz w:val="20"/>
        </w:rPr>
      </w:pPr>
      <w:r w:rsidRPr="002E6A8B">
        <w:rPr>
          <w:sz w:val="20"/>
          <w:vertAlign w:val="superscript"/>
        </w:rPr>
        <w:t>1</w:t>
      </w:r>
      <w:r w:rsidRPr="002E6A8B">
        <w:rPr>
          <w:sz w:val="20"/>
        </w:rPr>
        <w:t>Requesting records from an outpatient facility- It is important to specify to the clinic, office, lab, etc…that you are requesting BOTH reports from procedures and test</w:t>
      </w:r>
      <w:r w:rsidR="000F1476" w:rsidRPr="002E6A8B">
        <w:rPr>
          <w:sz w:val="20"/>
        </w:rPr>
        <w:t>s</w:t>
      </w:r>
      <w:r w:rsidRPr="002E6A8B">
        <w:rPr>
          <w:sz w:val="20"/>
        </w:rPr>
        <w:t xml:space="preserve"> AND any progress notes from the visits.</w:t>
      </w:r>
    </w:p>
    <w:p w:rsidR="00FB437D" w:rsidRPr="00CB0188" w:rsidRDefault="00FB437D">
      <w:pPr>
        <w:pStyle w:val="Footer"/>
        <w:tabs>
          <w:tab w:val="clear" w:pos="4320"/>
          <w:tab w:val="clear" w:pos="8640"/>
        </w:tabs>
        <w:spacing w:before="240"/>
        <w:rPr>
          <w:color w:val="0070C0"/>
        </w:rPr>
      </w:pPr>
      <w:r w:rsidRPr="008D7AFD">
        <w:t xml:space="preserve">See </w:t>
      </w:r>
      <w:r w:rsidRPr="008D7AFD">
        <w:rPr>
          <w:iCs/>
        </w:rPr>
        <w:t>Appendix E, “Sample Letters for MESA Events,”</w:t>
      </w:r>
      <w:r w:rsidRPr="008D7AFD">
        <w:t xml:space="preserve"> for examples of letters you may need to send to hospitals, physicians, proxies, etc., to obtain additional documentation and information regarding the event.</w:t>
      </w:r>
      <w:r w:rsidR="00CB0188" w:rsidRPr="008D7AFD">
        <w:t xml:space="preserve"> </w:t>
      </w:r>
    </w:p>
    <w:p w:rsidR="00FB437D" w:rsidRPr="000D3E8B" w:rsidRDefault="00FB437D">
      <w:pPr>
        <w:pStyle w:val="Heading3"/>
        <w:rPr>
          <w:color w:val="0070C0"/>
        </w:rPr>
      </w:pPr>
      <w:bookmarkStart w:id="131" w:name="_Toc17883269"/>
      <w:r w:rsidRPr="00F560D9">
        <w:br w:type="page"/>
      </w:r>
      <w:r w:rsidRPr="00F9151E">
        <w:lastRenderedPageBreak/>
        <w:t>D.2.5</w:t>
      </w:r>
      <w:r w:rsidRPr="00F9151E">
        <w:tab/>
        <w:t xml:space="preserve">Deleting </w:t>
      </w:r>
      <w:r w:rsidRPr="00F9151E">
        <w:rPr>
          <w:iCs/>
        </w:rPr>
        <w:t>Initial Notification</w:t>
      </w:r>
      <w:r w:rsidRPr="00F9151E">
        <w:t xml:space="preserve"> Forms </w:t>
      </w:r>
      <w:bookmarkEnd w:id="131"/>
    </w:p>
    <w:p w:rsidR="006D6211" w:rsidRPr="002E6A8B" w:rsidRDefault="00FB437D">
      <w:r w:rsidRPr="00F560D9">
        <w:t>If a participant (or proxy) reports an event of potential interest to MESA, and an</w:t>
      </w:r>
      <w:r w:rsidRPr="00F560D9">
        <w:rPr>
          <w:i/>
          <w:iCs/>
        </w:rPr>
        <w:t xml:space="preserve"> Initial Notification of Potential Event/Death </w:t>
      </w:r>
      <w:r w:rsidRPr="00F560D9">
        <w:t xml:space="preserve">is completed, but preliminary attempts to document the event fail (e.g., the hospital has no record of the participant’s being admitted on or around the stated time, the treating physician does not list the participant as a patient, etc.), re-contact the participant/proxy to clarify the details in question. If the participant/proxy provides a different hospital or physician name, recommence investigation procedures. If the participant/proxy provides only the same unverifiable </w:t>
      </w:r>
      <w:r w:rsidRPr="002E6A8B">
        <w:t>details</w:t>
      </w:r>
      <w:r w:rsidR="006D6211" w:rsidRPr="002E6A8B">
        <w:t>, the Initial form is retained, and the Eligibility and Final Notice forms will be completed as Non-Events.</w:t>
      </w:r>
      <w:r w:rsidRPr="002E6A8B">
        <w:t xml:space="preserve"> </w:t>
      </w:r>
    </w:p>
    <w:p w:rsidR="00FB437D" w:rsidRPr="002E6A8B" w:rsidRDefault="006D6211">
      <w:r w:rsidRPr="002E6A8B">
        <w:t xml:space="preserve">If the participant </w:t>
      </w:r>
      <w:r w:rsidR="00FB437D" w:rsidRPr="002E6A8B">
        <w:t xml:space="preserve">states the initial report was erroneous and there was no event, </w:t>
      </w:r>
      <w:r w:rsidRPr="002E6A8B">
        <w:t xml:space="preserve">or if you begin investigation procedures and realize the event in question has already been reported/investigated (i.e., another Initial Notification already exists for it), </w:t>
      </w:r>
      <w:r w:rsidR="00FB437D" w:rsidRPr="002E6A8B">
        <w:t xml:space="preserve">you may </w:t>
      </w:r>
      <w:r w:rsidRPr="002E6A8B">
        <w:t>request the deletion of</w:t>
      </w:r>
      <w:r w:rsidR="00FB437D" w:rsidRPr="002E6A8B">
        <w:t xml:space="preserve"> the </w:t>
      </w:r>
      <w:r w:rsidR="00FB437D" w:rsidRPr="002E6A8B">
        <w:rPr>
          <w:iCs/>
        </w:rPr>
        <w:t>Initial Notification of Potential Event/Death</w:t>
      </w:r>
      <w:r w:rsidRPr="002E6A8B">
        <w:t xml:space="preserve"> from the EDC.</w:t>
      </w:r>
    </w:p>
    <w:p w:rsidR="00653049" w:rsidRPr="00273B2B" w:rsidRDefault="002203E4" w:rsidP="002E6A8B">
      <w:pPr>
        <w:pStyle w:val="Footer"/>
        <w:tabs>
          <w:tab w:val="clear" w:pos="4320"/>
          <w:tab w:val="clear" w:pos="8640"/>
        </w:tabs>
        <w:rPr>
          <w:strike/>
          <w:color w:val="FF0000"/>
        </w:rPr>
      </w:pPr>
      <w:r w:rsidRPr="00F560D9">
        <w:t xml:space="preserve">You should think of deleting an </w:t>
      </w:r>
      <w:r w:rsidRPr="00F560D9">
        <w:rPr>
          <w:i/>
        </w:rPr>
        <w:t>Initial Notification</w:t>
      </w:r>
      <w:r w:rsidRPr="00F560D9">
        <w:t xml:space="preserve"> as equivalent to deleting all traces of an investigation—and thus deleting the whole investigation’s existence.  </w:t>
      </w:r>
    </w:p>
    <w:bookmarkEnd w:id="6"/>
    <w:p w:rsidR="00FB437D" w:rsidRPr="002E0EB7" w:rsidRDefault="00EF0F7F">
      <w:pPr>
        <w:rPr>
          <w:b/>
          <w:bCs/>
          <w:iCs/>
          <w:color w:val="C0C0C0"/>
          <w:szCs w:val="26"/>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558.7pt">
            <v:imagedata r:id="rId7" o:title=""/>
          </v:shape>
        </w:pict>
      </w:r>
      <w:bookmarkStart w:id="132" w:name="_GoBack"/>
      <w:bookmarkEnd w:id="132"/>
    </w:p>
    <w:sectPr w:rsidR="00FB437D" w:rsidRPr="002E0EB7">
      <w:headerReference w:type="default" r:id="rId8"/>
      <w:footerReference w:type="default" r:id="rId9"/>
      <w:endnotePr>
        <w:numFmt w:val="decimal"/>
      </w:endnotePr>
      <w:type w:val="continuous"/>
      <w:pgSz w:w="12240" w:h="15840" w:code="1"/>
      <w:pgMar w:top="720"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70" w:rsidRDefault="00F54070">
      <w:r>
        <w:separator/>
      </w:r>
    </w:p>
  </w:endnote>
  <w:endnote w:type="continuationSeparator" w:id="0">
    <w:p w:rsidR="00F54070" w:rsidRDefault="00F5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4A" w:rsidRDefault="00D73E4A">
    <w:pPr>
      <w:pStyle w:val="Footer"/>
    </w:pPr>
    <w:r w:rsidRPr="00474AD8">
      <w:rPr>
        <w:rFonts w:ascii="Arial" w:hAnsi="Arial" w:cs="Arial"/>
        <w:i/>
        <w:sz w:val="16"/>
        <w:szCs w:val="16"/>
      </w:rPr>
      <w:t xml:space="preserve">This Section:  </w:t>
    </w:r>
    <w:r>
      <w:rPr>
        <w:rFonts w:ascii="Arial" w:hAnsi="Arial" w:cs="Arial"/>
        <w:i/>
        <w:sz w:val="16"/>
        <w:szCs w:val="16"/>
      </w:rPr>
      <w:t>6/6/2017</w:t>
    </w:r>
    <w:r w:rsidRPr="00474AD8">
      <w:rPr>
        <w:rFonts w:ascii="Arial" w:hAnsi="Arial" w:cs="Arial"/>
        <w:i/>
        <w:sz w:val="16"/>
        <w:szCs w:val="16"/>
      </w:rPr>
      <w:t xml:space="preserve"> Version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70" w:rsidRDefault="00F54070">
      <w:r>
        <w:separator/>
      </w:r>
    </w:p>
  </w:footnote>
  <w:footnote w:type="continuationSeparator" w:id="0">
    <w:p w:rsidR="00F54070" w:rsidRDefault="00F54070">
      <w:r>
        <w:continuationSeparator/>
      </w:r>
    </w:p>
  </w:footnote>
  <w:footnote w:id="1">
    <w:p w:rsidR="00FB437D" w:rsidRDefault="00FB437D" w:rsidP="00475BEC">
      <w:pPr>
        <w:pStyle w:val="FootnoteText"/>
        <w:spacing w:after="0"/>
        <w:contextualSpacing/>
      </w:pPr>
    </w:p>
    <w:p w:rsidR="00B82AE2" w:rsidRPr="00057641" w:rsidRDefault="00B82AE2" w:rsidP="00B82AE2">
      <w:pPr>
        <w:pStyle w:val="NoSpacing"/>
        <w:rPr>
          <w:sz w:val="20"/>
        </w:rPr>
      </w:pPr>
      <w:r w:rsidRPr="00057641">
        <w:rPr>
          <w:rStyle w:val="FootnoteReference"/>
          <w:sz w:val="20"/>
        </w:rPr>
        <w:footnoteRef/>
      </w:r>
      <w:r w:rsidRPr="00057641">
        <w:rPr>
          <w:sz w:val="20"/>
        </w:rPr>
        <w:t xml:space="preserve"> There are a handful of exceptions.  Do </w:t>
      </w:r>
      <w:r w:rsidRPr="00057641">
        <w:rPr>
          <w:sz w:val="20"/>
          <w:u w:val="single"/>
        </w:rPr>
        <w:t>not</w:t>
      </w:r>
      <w:r w:rsidRPr="00057641">
        <w:rPr>
          <w:sz w:val="20"/>
        </w:rPr>
        <w:t xml:space="preserve"> begin an </w:t>
      </w:r>
      <w:r w:rsidRPr="00057641">
        <w:rPr>
          <w:i/>
          <w:sz w:val="20"/>
        </w:rPr>
        <w:t>Initial Notification of Potential Event/Death</w:t>
      </w:r>
      <w:r w:rsidRPr="00057641">
        <w:rPr>
          <w:sz w:val="20"/>
        </w:rPr>
        <w:t xml:space="preserve"> for any of the following conditions and procedures if it is an </w:t>
      </w:r>
      <w:r w:rsidRPr="00057641">
        <w:rPr>
          <w:sz w:val="20"/>
          <w:u w:val="single"/>
        </w:rPr>
        <w:t>out-of-hospital</w:t>
      </w:r>
      <w:r w:rsidRPr="00057641">
        <w:rPr>
          <w:sz w:val="20"/>
        </w:rPr>
        <w:t xml:space="preserve"> occurrence: </w:t>
      </w:r>
    </w:p>
    <w:p w:rsidR="00B82AE2" w:rsidRPr="00057641" w:rsidRDefault="00B82AE2" w:rsidP="00B82AE2">
      <w:pPr>
        <w:pStyle w:val="NoSpacing"/>
        <w:rPr>
          <w:sz w:val="20"/>
        </w:rPr>
      </w:pPr>
      <w:r w:rsidRPr="00057641">
        <w:rPr>
          <w:sz w:val="20"/>
        </w:rPr>
        <w:t xml:space="preserve">   Conditions:</w:t>
      </w:r>
    </w:p>
    <w:p w:rsidR="00B82AE2" w:rsidRPr="00057641" w:rsidRDefault="00B82AE2" w:rsidP="00B82AE2">
      <w:pPr>
        <w:pStyle w:val="NoSpacing"/>
        <w:widowControl/>
        <w:numPr>
          <w:ilvl w:val="0"/>
          <w:numId w:val="34"/>
        </w:numPr>
        <w:overflowPunct/>
        <w:autoSpaceDE/>
        <w:autoSpaceDN/>
        <w:adjustRightInd/>
        <w:textAlignment w:val="auto"/>
        <w:rPr>
          <w:sz w:val="20"/>
        </w:rPr>
      </w:pPr>
      <w:r w:rsidRPr="00057641">
        <w:rPr>
          <w:sz w:val="20"/>
        </w:rPr>
        <w:t>atrial fibrillation (reported on General Health forms dated July 1, 2003, or after)</w:t>
      </w:r>
    </w:p>
    <w:p w:rsidR="00B82AE2" w:rsidRPr="00057641" w:rsidRDefault="00B82AE2" w:rsidP="00B82AE2">
      <w:pPr>
        <w:pStyle w:val="NoSpacing"/>
        <w:widowControl/>
        <w:numPr>
          <w:ilvl w:val="0"/>
          <w:numId w:val="34"/>
        </w:numPr>
        <w:overflowPunct/>
        <w:autoSpaceDE/>
        <w:autoSpaceDN/>
        <w:adjustRightInd/>
        <w:textAlignment w:val="auto"/>
        <w:rPr>
          <w:sz w:val="20"/>
        </w:rPr>
      </w:pPr>
      <w:r w:rsidRPr="00057641">
        <w:rPr>
          <w:sz w:val="20"/>
        </w:rPr>
        <w:t>deep vein thrombosis</w:t>
      </w:r>
    </w:p>
    <w:p w:rsidR="00B82AE2" w:rsidRPr="00057641" w:rsidRDefault="00B82AE2" w:rsidP="00B82AE2">
      <w:pPr>
        <w:pStyle w:val="NoSpacing"/>
        <w:widowControl/>
        <w:numPr>
          <w:ilvl w:val="0"/>
          <w:numId w:val="34"/>
        </w:numPr>
        <w:overflowPunct/>
        <w:autoSpaceDE/>
        <w:autoSpaceDN/>
        <w:adjustRightInd/>
        <w:textAlignment w:val="auto"/>
        <w:rPr>
          <w:sz w:val="20"/>
        </w:rPr>
      </w:pPr>
      <w:r w:rsidRPr="00057641">
        <w:rPr>
          <w:sz w:val="20"/>
        </w:rPr>
        <w:t>lung abnormality</w:t>
      </w:r>
    </w:p>
    <w:p w:rsidR="00B82AE2" w:rsidRPr="00057641" w:rsidRDefault="00B82AE2" w:rsidP="00B82AE2">
      <w:pPr>
        <w:pStyle w:val="NoSpacing"/>
        <w:widowControl/>
        <w:numPr>
          <w:ilvl w:val="0"/>
          <w:numId w:val="34"/>
        </w:numPr>
        <w:overflowPunct/>
        <w:autoSpaceDE/>
        <w:autoSpaceDN/>
        <w:adjustRightInd/>
        <w:textAlignment w:val="auto"/>
        <w:rPr>
          <w:sz w:val="20"/>
        </w:rPr>
      </w:pPr>
      <w:r w:rsidRPr="00057641">
        <w:rPr>
          <w:sz w:val="20"/>
        </w:rPr>
        <w:t>cancer</w:t>
      </w:r>
    </w:p>
    <w:p w:rsidR="00B82AE2" w:rsidRPr="00057641" w:rsidRDefault="00B82AE2" w:rsidP="00B82AE2">
      <w:pPr>
        <w:pStyle w:val="NoSpacing"/>
        <w:rPr>
          <w:sz w:val="20"/>
        </w:rPr>
      </w:pPr>
      <w:r w:rsidRPr="00057641">
        <w:rPr>
          <w:sz w:val="20"/>
        </w:rPr>
        <w:t xml:space="preserve">   Procedures:</w:t>
      </w:r>
    </w:p>
    <w:p w:rsidR="00B82AE2" w:rsidRPr="00057641" w:rsidRDefault="00B82AE2" w:rsidP="00B82AE2">
      <w:pPr>
        <w:pStyle w:val="NoSpacing"/>
        <w:widowControl/>
        <w:numPr>
          <w:ilvl w:val="0"/>
          <w:numId w:val="35"/>
        </w:numPr>
        <w:overflowPunct/>
        <w:autoSpaceDE/>
        <w:autoSpaceDN/>
        <w:adjustRightInd/>
        <w:textAlignment w:val="auto"/>
        <w:rPr>
          <w:sz w:val="20"/>
        </w:rPr>
      </w:pPr>
      <w:r w:rsidRPr="00057641">
        <w:rPr>
          <w:sz w:val="20"/>
        </w:rPr>
        <w:t>ETT – exercise, treadmill, bike, stress, or chemical (reported on General Health forms dated July 1, 2003, or after)</w:t>
      </w:r>
    </w:p>
    <w:p w:rsidR="00B82AE2" w:rsidRPr="00057641" w:rsidRDefault="00B82AE2" w:rsidP="00B82AE2">
      <w:pPr>
        <w:pStyle w:val="NoSpacing"/>
        <w:widowControl/>
        <w:numPr>
          <w:ilvl w:val="0"/>
          <w:numId w:val="35"/>
        </w:numPr>
        <w:overflowPunct/>
        <w:autoSpaceDE/>
        <w:autoSpaceDN/>
        <w:adjustRightInd/>
        <w:textAlignment w:val="auto"/>
        <w:rPr>
          <w:sz w:val="20"/>
        </w:rPr>
      </w:pPr>
      <w:r>
        <w:rPr>
          <w:sz w:val="20"/>
        </w:rPr>
        <w:t>e</w:t>
      </w:r>
      <w:r w:rsidRPr="00057641">
        <w:rPr>
          <w:sz w:val="20"/>
        </w:rPr>
        <w:t>chocardiogram (reported on General Health forms dated July 1, 2003, or after)</w:t>
      </w:r>
    </w:p>
    <w:p w:rsidR="00B82AE2" w:rsidRPr="00057641" w:rsidRDefault="00B82AE2" w:rsidP="00B82AE2">
      <w:pPr>
        <w:pStyle w:val="NoSpacing"/>
        <w:widowControl/>
        <w:numPr>
          <w:ilvl w:val="0"/>
          <w:numId w:val="35"/>
        </w:numPr>
        <w:overflowPunct/>
        <w:autoSpaceDE/>
        <w:autoSpaceDN/>
        <w:adjustRightInd/>
        <w:textAlignment w:val="auto"/>
        <w:rPr>
          <w:sz w:val="20"/>
        </w:rPr>
      </w:pPr>
      <w:r w:rsidRPr="00057641">
        <w:rPr>
          <w:sz w:val="20"/>
        </w:rPr>
        <w:t>ECG, EKG</w:t>
      </w:r>
    </w:p>
    <w:p w:rsidR="00B82AE2" w:rsidRPr="00057641" w:rsidRDefault="00B82AE2" w:rsidP="00B82AE2">
      <w:pPr>
        <w:pStyle w:val="NoSpacing"/>
        <w:widowControl/>
        <w:numPr>
          <w:ilvl w:val="0"/>
          <w:numId w:val="35"/>
        </w:numPr>
        <w:overflowPunct/>
        <w:autoSpaceDE/>
        <w:autoSpaceDN/>
        <w:adjustRightInd/>
        <w:textAlignment w:val="auto"/>
        <w:rPr>
          <w:sz w:val="20"/>
        </w:rPr>
      </w:pPr>
      <w:r>
        <w:rPr>
          <w:sz w:val="20"/>
        </w:rPr>
        <w:t>c</w:t>
      </w:r>
      <w:r w:rsidRPr="00057641">
        <w:rPr>
          <w:sz w:val="20"/>
        </w:rPr>
        <w:t>hest x-ray, chest CT scan or chest MRI</w:t>
      </w:r>
    </w:p>
    <w:p w:rsidR="00B82AE2" w:rsidRPr="00057641" w:rsidRDefault="00B82AE2" w:rsidP="00B82AE2">
      <w:pPr>
        <w:pStyle w:val="NoSpacing"/>
        <w:widowControl/>
        <w:numPr>
          <w:ilvl w:val="0"/>
          <w:numId w:val="35"/>
        </w:numPr>
        <w:overflowPunct/>
        <w:autoSpaceDE/>
        <w:autoSpaceDN/>
        <w:adjustRightInd/>
        <w:textAlignment w:val="auto"/>
        <w:rPr>
          <w:sz w:val="20"/>
        </w:rPr>
      </w:pPr>
      <w:r w:rsidRPr="00057641">
        <w:rPr>
          <w:sz w:val="20"/>
        </w:rPr>
        <w:t>ablation</w:t>
      </w:r>
    </w:p>
    <w:p w:rsidR="00B82AE2" w:rsidRDefault="00B82AE2" w:rsidP="00EF0F7F">
      <w:pPr>
        <w:pStyle w:val="NoSpacing"/>
        <w:widowControl/>
        <w:numPr>
          <w:ilvl w:val="0"/>
          <w:numId w:val="35"/>
        </w:numPr>
        <w:overflowPunct/>
        <w:autoSpaceDE/>
        <w:autoSpaceDN/>
        <w:adjustRightInd/>
        <w:spacing w:after="40"/>
        <w:textAlignment w:val="auto"/>
        <w:rPr>
          <w:sz w:val="20"/>
        </w:rPr>
      </w:pPr>
      <w:r w:rsidRPr="00057641">
        <w:rPr>
          <w:sz w:val="20"/>
        </w:rPr>
        <w:t>cardioversion</w:t>
      </w:r>
    </w:p>
    <w:p w:rsidR="00B82AE2" w:rsidRDefault="00B82AE2" w:rsidP="00B82AE2">
      <w:pPr>
        <w:pStyle w:val="FootnoteText"/>
        <w:spacing w:after="0"/>
        <w:contextualSpacing/>
      </w:pPr>
      <w:r w:rsidRPr="00EA4232">
        <w:t xml:space="preserve">All other diagnoses, admissions, and procedures listed on the Follow-up forms (including others in the ‘other diagnostic,…’ category) </w:t>
      </w:r>
      <w:r w:rsidRPr="00EA4232">
        <w:rPr>
          <w:u w:val="single"/>
        </w:rPr>
        <w:t>should</w:t>
      </w:r>
      <w:r w:rsidRPr="00EA4232">
        <w:t xml:space="preserve"> be investigated.  Of course, an </w:t>
      </w:r>
      <w:r w:rsidRPr="00EA4232">
        <w:rPr>
          <w:i/>
        </w:rPr>
        <w:t>Initial Notification</w:t>
      </w:r>
      <w:r w:rsidRPr="00EA4232">
        <w:t xml:space="preserve"> </w:t>
      </w:r>
      <w:r w:rsidRPr="00EA4232">
        <w:rPr>
          <w:u w:val="single"/>
        </w:rPr>
        <w:t>should</w:t>
      </w:r>
      <w:r w:rsidRPr="00EA4232">
        <w:t xml:space="preserve"> also be started if any of the conditions/procedures above is accompanied by another condition/procedure that </w:t>
      </w:r>
      <w:r w:rsidRPr="00EA4232">
        <w:rPr>
          <w:u w:val="single"/>
        </w:rPr>
        <w:t>does</w:t>
      </w:r>
      <w:r w:rsidRPr="00EA4232">
        <w:t xml:space="preserve"> require an </w:t>
      </w:r>
      <w:r w:rsidRPr="00EA4232">
        <w:rPr>
          <w:i/>
        </w:rPr>
        <w:t>Initial Notification</w:t>
      </w:r>
      <w:r w:rsidRPr="00EA4232">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4A" w:rsidRDefault="00D73E4A">
    <w:pPr>
      <w:pStyle w:val="Header"/>
      <w:rPr>
        <w:rStyle w:val="PageNumber"/>
        <w:b/>
      </w:rPr>
    </w:pPr>
    <w:smartTag w:uri="urn:schemas-microsoft-com:office:smarttags" w:element="place">
      <w:smartTag w:uri="urn:schemas-microsoft-com:office:smarttags" w:element="City">
        <w:r>
          <w:rPr>
            <w:i/>
            <w:smallCaps/>
            <w:sz w:val="21"/>
            <w:szCs w:val="21"/>
          </w:rPr>
          <w:t>MESA</w:t>
        </w:r>
      </w:smartTag>
    </w:smartTag>
    <w:r>
      <w:rPr>
        <w:i/>
        <w:smallCaps/>
        <w:sz w:val="21"/>
        <w:szCs w:val="21"/>
      </w:rPr>
      <w:t xml:space="preserve"> Manual of Operations:</w:t>
    </w:r>
    <w:r>
      <w:rPr>
        <w:i/>
        <w:sz w:val="22"/>
        <w:szCs w:val="22"/>
      </w:rPr>
      <w:tab/>
      <w:t>Initial Notification of Potential Event/Death</w:t>
    </w:r>
    <w:r>
      <w:rPr>
        <w:i/>
        <w:sz w:val="22"/>
        <w:szCs w:val="22"/>
      </w:rPr>
      <w:tab/>
    </w:r>
    <w:r>
      <w:rPr>
        <w:sz w:val="20"/>
      </w:rPr>
      <w:t>Appendix</w:t>
    </w:r>
    <w:r>
      <w:t xml:space="preserve"> </w:t>
    </w:r>
    <w:r>
      <w:rPr>
        <w:b/>
      </w:rPr>
      <w:t>D.2</w:t>
    </w:r>
    <w:r>
      <w:rPr>
        <w:b/>
        <w:szCs w:val="24"/>
      </w:rPr>
      <w:t>,</w:t>
    </w:r>
    <w:r>
      <w:t xml:space="preserve"> </w:t>
    </w:r>
    <w:r>
      <w:rPr>
        <w:sz w:val="20"/>
      </w:rPr>
      <w:t>Page</w:t>
    </w:r>
    <w:r>
      <w:t xml:space="preserve"> </w:t>
    </w:r>
    <w:r>
      <w:rPr>
        <w:rStyle w:val="PageNumber"/>
        <w:b/>
      </w:rPr>
      <w:fldChar w:fldCharType="begin"/>
    </w:r>
    <w:r>
      <w:rPr>
        <w:rStyle w:val="PageNumber"/>
        <w:b/>
      </w:rPr>
      <w:instrText xml:space="preserve"> PAGE </w:instrText>
    </w:r>
    <w:r>
      <w:rPr>
        <w:rStyle w:val="PageNumber"/>
        <w:b/>
      </w:rPr>
      <w:fldChar w:fldCharType="separate"/>
    </w:r>
    <w:r w:rsidR="00EF0F7F">
      <w:rPr>
        <w:rStyle w:val="PageNumber"/>
        <w:b/>
        <w:noProof/>
      </w:rPr>
      <w:t>14</w:t>
    </w:r>
    <w:r>
      <w:rPr>
        <w:rStyle w:val="PageNumber"/>
        <w:b/>
      </w:rPr>
      <w:fldChar w:fldCharType="end"/>
    </w:r>
  </w:p>
  <w:p w:rsidR="00D73E4A" w:rsidRDefault="00D73E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5EB3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AE95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4CF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05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B2EB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48CD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B4EB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B2C0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828E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4C9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D456F"/>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5D15EAD"/>
    <w:multiLevelType w:val="singleLevel"/>
    <w:tmpl w:val="55CCDF2C"/>
    <w:lvl w:ilvl="0">
      <w:start w:val="1"/>
      <w:numFmt w:val="lowerLetter"/>
      <w:lvlText w:val="%1"/>
      <w:legacy w:legacy="1" w:legacySpace="0" w:legacyIndent="432"/>
      <w:lvlJc w:val="left"/>
      <w:pPr>
        <w:ind w:left="432" w:hanging="432"/>
      </w:pPr>
    </w:lvl>
  </w:abstractNum>
  <w:abstractNum w:abstractNumId="12" w15:restartNumberingAfterBreak="0">
    <w:nsid w:val="05FD6096"/>
    <w:multiLevelType w:val="hybridMultilevel"/>
    <w:tmpl w:val="2612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F39BE"/>
    <w:multiLevelType w:val="hybridMultilevel"/>
    <w:tmpl w:val="ECBCAA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0C2F1408"/>
    <w:multiLevelType w:val="hybridMultilevel"/>
    <w:tmpl w:val="6CE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A73A8"/>
    <w:multiLevelType w:val="singleLevel"/>
    <w:tmpl w:val="55CCDF2C"/>
    <w:lvl w:ilvl="0">
      <w:start w:val="1"/>
      <w:numFmt w:val="lowerLetter"/>
      <w:lvlText w:val="%1"/>
      <w:legacy w:legacy="1" w:legacySpace="0" w:legacyIndent="432"/>
      <w:lvlJc w:val="left"/>
      <w:pPr>
        <w:ind w:left="432" w:hanging="432"/>
      </w:pPr>
    </w:lvl>
  </w:abstractNum>
  <w:abstractNum w:abstractNumId="16" w15:restartNumberingAfterBreak="0">
    <w:nsid w:val="196B588C"/>
    <w:multiLevelType w:val="singleLevel"/>
    <w:tmpl w:val="55CCDF2C"/>
    <w:lvl w:ilvl="0">
      <w:start w:val="1"/>
      <w:numFmt w:val="lowerLetter"/>
      <w:lvlText w:val="%1"/>
      <w:legacy w:legacy="1" w:legacySpace="0" w:legacyIndent="432"/>
      <w:lvlJc w:val="left"/>
      <w:pPr>
        <w:ind w:left="432" w:hanging="432"/>
      </w:pPr>
    </w:lvl>
  </w:abstractNum>
  <w:abstractNum w:abstractNumId="17" w15:restartNumberingAfterBreak="0">
    <w:nsid w:val="1A5C78B2"/>
    <w:multiLevelType w:val="hybridMultilevel"/>
    <w:tmpl w:val="17E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2C6DFB"/>
    <w:multiLevelType w:val="hybridMultilevel"/>
    <w:tmpl w:val="A082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334A7"/>
    <w:multiLevelType w:val="hybridMultilevel"/>
    <w:tmpl w:val="773E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11F23"/>
    <w:multiLevelType w:val="hybridMultilevel"/>
    <w:tmpl w:val="8C3C3FFE"/>
    <w:lvl w:ilvl="0" w:tplc="02749644">
      <w:start w:val="1"/>
      <w:numFmt w:val="bullet"/>
      <w:lvlText w:val=""/>
      <w:lvlJc w:val="left"/>
      <w:pPr>
        <w:ind w:left="1440" w:hanging="360"/>
      </w:pPr>
      <w:rPr>
        <w:rFonts w:ascii="Symbol" w:hAnsi="Symbol" w:hint="default"/>
        <w:sz w:val="18"/>
        <w:szCs w:val="18"/>
      </w:rPr>
    </w:lvl>
    <w:lvl w:ilvl="1" w:tplc="73D8B9AA"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15:restartNumberingAfterBreak="0">
    <w:nsid w:val="28FD3ADF"/>
    <w:multiLevelType w:val="hybridMultilevel"/>
    <w:tmpl w:val="E3A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C2B36"/>
    <w:multiLevelType w:val="hybridMultilevel"/>
    <w:tmpl w:val="26F2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B7049"/>
    <w:multiLevelType w:val="hybridMultilevel"/>
    <w:tmpl w:val="01186F48"/>
    <w:lvl w:ilvl="0" w:tplc="EE18D4F8">
      <w:start w:val="1"/>
      <w:numFmt w:val="bullet"/>
      <w:pStyle w:val="Bullet1"/>
      <w:lvlText w:val=""/>
      <w:lvlJc w:val="left"/>
      <w:pPr>
        <w:tabs>
          <w:tab w:val="num" w:pos="288"/>
        </w:tabs>
        <w:ind w:left="648" w:hanging="288"/>
      </w:pPr>
      <w:rPr>
        <w:rFonts w:ascii="Symbol" w:hAnsi="Symbol" w:hint="default"/>
        <w:sz w:val="18"/>
        <w:szCs w:val="18"/>
      </w:rPr>
    </w:lvl>
    <w:lvl w:ilvl="1" w:tplc="73D8B9A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822D7"/>
    <w:multiLevelType w:val="hybridMultilevel"/>
    <w:tmpl w:val="FD22BE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C97FC3"/>
    <w:multiLevelType w:val="singleLevel"/>
    <w:tmpl w:val="55CCDF2C"/>
    <w:lvl w:ilvl="0">
      <w:start w:val="1"/>
      <w:numFmt w:val="lowerLetter"/>
      <w:lvlText w:val="%1"/>
      <w:legacy w:legacy="1" w:legacySpace="0" w:legacyIndent="432"/>
      <w:lvlJc w:val="left"/>
      <w:pPr>
        <w:ind w:left="432" w:hanging="432"/>
      </w:pPr>
    </w:lvl>
  </w:abstractNum>
  <w:abstractNum w:abstractNumId="26" w15:restartNumberingAfterBreak="0">
    <w:nsid w:val="46BF5788"/>
    <w:multiLevelType w:val="hybridMultilevel"/>
    <w:tmpl w:val="1AD6F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B4A1B79"/>
    <w:multiLevelType w:val="hybridMultilevel"/>
    <w:tmpl w:val="29AE718C"/>
    <w:lvl w:ilvl="0" w:tplc="4FB2C424">
      <w:start w:val="4"/>
      <w:numFmt w:val="decimal"/>
      <w:pStyle w:val="Style2"/>
      <w:lvlText w:val="%1a."/>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4C4C4CFD"/>
    <w:multiLevelType w:val="hybridMultilevel"/>
    <w:tmpl w:val="80A4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B471F"/>
    <w:multiLevelType w:val="singleLevel"/>
    <w:tmpl w:val="55CCDF2C"/>
    <w:lvl w:ilvl="0">
      <w:start w:val="1"/>
      <w:numFmt w:val="lowerLetter"/>
      <w:lvlText w:val="%1"/>
      <w:legacy w:legacy="1" w:legacySpace="0" w:legacyIndent="432"/>
      <w:lvlJc w:val="left"/>
      <w:pPr>
        <w:ind w:left="432" w:hanging="432"/>
      </w:pPr>
    </w:lvl>
  </w:abstractNum>
  <w:abstractNum w:abstractNumId="30" w15:restartNumberingAfterBreak="0">
    <w:nsid w:val="5C521203"/>
    <w:multiLevelType w:val="singleLevel"/>
    <w:tmpl w:val="55CCDF2C"/>
    <w:lvl w:ilvl="0">
      <w:start w:val="1"/>
      <w:numFmt w:val="lowerLetter"/>
      <w:lvlText w:val="%1"/>
      <w:legacy w:legacy="1" w:legacySpace="0" w:legacyIndent="432"/>
      <w:lvlJc w:val="left"/>
      <w:pPr>
        <w:ind w:left="432" w:hanging="432"/>
      </w:pPr>
    </w:lvl>
  </w:abstractNum>
  <w:abstractNum w:abstractNumId="31" w15:restartNumberingAfterBreak="0">
    <w:nsid w:val="63574F9D"/>
    <w:multiLevelType w:val="hybridMultilevel"/>
    <w:tmpl w:val="15D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A1585"/>
    <w:multiLevelType w:val="hybridMultilevel"/>
    <w:tmpl w:val="86BC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C1D12"/>
    <w:multiLevelType w:val="hybridMultilevel"/>
    <w:tmpl w:val="E5C2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D7D87"/>
    <w:multiLevelType w:val="singleLevel"/>
    <w:tmpl w:val="55CCDF2C"/>
    <w:lvl w:ilvl="0">
      <w:start w:val="1"/>
      <w:numFmt w:val="lowerLetter"/>
      <w:lvlText w:val="%1"/>
      <w:legacy w:legacy="1" w:legacySpace="0" w:legacyIndent="432"/>
      <w:lvlJc w:val="left"/>
      <w:pPr>
        <w:ind w:left="432" w:hanging="432"/>
      </w:pPr>
    </w:lvl>
  </w:abstractNum>
  <w:num w:numId="1">
    <w:abstractNumId w:val="2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5"/>
  </w:num>
  <w:num w:numId="16">
    <w:abstractNumId w:val="34"/>
  </w:num>
  <w:num w:numId="17">
    <w:abstractNumId w:val="30"/>
  </w:num>
  <w:num w:numId="18">
    <w:abstractNumId w:val="16"/>
  </w:num>
  <w:num w:numId="19">
    <w:abstractNumId w:val="11"/>
  </w:num>
  <w:num w:numId="20">
    <w:abstractNumId w:val="25"/>
  </w:num>
  <w:num w:numId="21">
    <w:abstractNumId w:val="20"/>
  </w:num>
  <w:num w:numId="22">
    <w:abstractNumId w:val="19"/>
  </w:num>
  <w:num w:numId="23">
    <w:abstractNumId w:val="24"/>
  </w:num>
  <w:num w:numId="24">
    <w:abstractNumId w:val="26"/>
  </w:num>
  <w:num w:numId="25">
    <w:abstractNumId w:val="13"/>
  </w:num>
  <w:num w:numId="26">
    <w:abstractNumId w:val="22"/>
  </w:num>
  <w:num w:numId="27">
    <w:abstractNumId w:val="17"/>
  </w:num>
  <w:num w:numId="28">
    <w:abstractNumId w:val="21"/>
  </w:num>
  <w:num w:numId="29">
    <w:abstractNumId w:val="12"/>
  </w:num>
  <w:num w:numId="30">
    <w:abstractNumId w:val="14"/>
  </w:num>
  <w:num w:numId="31">
    <w:abstractNumId w:val="33"/>
  </w:num>
  <w:num w:numId="32">
    <w:abstractNumId w:val="31"/>
  </w:num>
  <w:num w:numId="33">
    <w:abstractNumId w:val="32"/>
  </w:num>
  <w:num w:numId="34">
    <w:abstractNumId w:val="18"/>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AFB"/>
    <w:rsid w:val="00005A2A"/>
    <w:rsid w:val="00005E3D"/>
    <w:rsid w:val="00026854"/>
    <w:rsid w:val="000270D6"/>
    <w:rsid w:val="00063380"/>
    <w:rsid w:val="00065116"/>
    <w:rsid w:val="00094AE1"/>
    <w:rsid w:val="000C27A6"/>
    <w:rsid w:val="000D3E8B"/>
    <w:rsid w:val="000F1476"/>
    <w:rsid w:val="000F4810"/>
    <w:rsid w:val="00100537"/>
    <w:rsid w:val="00140A08"/>
    <w:rsid w:val="0014392F"/>
    <w:rsid w:val="00154F25"/>
    <w:rsid w:val="00163EFA"/>
    <w:rsid w:val="00173D0E"/>
    <w:rsid w:val="00177390"/>
    <w:rsid w:val="001B3A6A"/>
    <w:rsid w:val="001B6312"/>
    <w:rsid w:val="001D0A21"/>
    <w:rsid w:val="001F2C8A"/>
    <w:rsid w:val="002203E4"/>
    <w:rsid w:val="00225DDC"/>
    <w:rsid w:val="00230F02"/>
    <w:rsid w:val="00232EEA"/>
    <w:rsid w:val="00273B2B"/>
    <w:rsid w:val="00277D5A"/>
    <w:rsid w:val="00282ABD"/>
    <w:rsid w:val="00283A48"/>
    <w:rsid w:val="002963E3"/>
    <w:rsid w:val="002B5435"/>
    <w:rsid w:val="002D17F6"/>
    <w:rsid w:val="002D5EA7"/>
    <w:rsid w:val="002E0EB7"/>
    <w:rsid w:val="002E1490"/>
    <w:rsid w:val="002E6A8B"/>
    <w:rsid w:val="002F1A97"/>
    <w:rsid w:val="002F4A6D"/>
    <w:rsid w:val="00312CF0"/>
    <w:rsid w:val="00321D85"/>
    <w:rsid w:val="00365AA4"/>
    <w:rsid w:val="00366DC8"/>
    <w:rsid w:val="00371541"/>
    <w:rsid w:val="003739D2"/>
    <w:rsid w:val="003A1E48"/>
    <w:rsid w:val="003B1B98"/>
    <w:rsid w:val="00422242"/>
    <w:rsid w:val="00454928"/>
    <w:rsid w:val="00474AD8"/>
    <w:rsid w:val="00474D11"/>
    <w:rsid w:val="00475BEC"/>
    <w:rsid w:val="00480F7E"/>
    <w:rsid w:val="004941CB"/>
    <w:rsid w:val="004A6EF8"/>
    <w:rsid w:val="004A7354"/>
    <w:rsid w:val="00524274"/>
    <w:rsid w:val="005336E4"/>
    <w:rsid w:val="0055340A"/>
    <w:rsid w:val="0055618E"/>
    <w:rsid w:val="00562E9B"/>
    <w:rsid w:val="00566A85"/>
    <w:rsid w:val="00587B23"/>
    <w:rsid w:val="005A593E"/>
    <w:rsid w:val="005D4768"/>
    <w:rsid w:val="005F1D77"/>
    <w:rsid w:val="00645B02"/>
    <w:rsid w:val="00653049"/>
    <w:rsid w:val="00664995"/>
    <w:rsid w:val="00670A66"/>
    <w:rsid w:val="006D6211"/>
    <w:rsid w:val="006E49F6"/>
    <w:rsid w:val="00700B0E"/>
    <w:rsid w:val="00713AA7"/>
    <w:rsid w:val="00722B04"/>
    <w:rsid w:val="00737F0B"/>
    <w:rsid w:val="00752571"/>
    <w:rsid w:val="00770A62"/>
    <w:rsid w:val="00782BD4"/>
    <w:rsid w:val="007A7155"/>
    <w:rsid w:val="00835077"/>
    <w:rsid w:val="008A56FB"/>
    <w:rsid w:val="008B13C5"/>
    <w:rsid w:val="008B2C0C"/>
    <w:rsid w:val="008D7AFD"/>
    <w:rsid w:val="00925405"/>
    <w:rsid w:val="00961822"/>
    <w:rsid w:val="009F3AAB"/>
    <w:rsid w:val="00A32FAC"/>
    <w:rsid w:val="00A61B79"/>
    <w:rsid w:val="00A728BF"/>
    <w:rsid w:val="00A75AB6"/>
    <w:rsid w:val="00A85F7E"/>
    <w:rsid w:val="00A90287"/>
    <w:rsid w:val="00AC0AFB"/>
    <w:rsid w:val="00AD57CF"/>
    <w:rsid w:val="00AF578C"/>
    <w:rsid w:val="00B020D9"/>
    <w:rsid w:val="00B11103"/>
    <w:rsid w:val="00B15E2A"/>
    <w:rsid w:val="00B2151F"/>
    <w:rsid w:val="00B26BB1"/>
    <w:rsid w:val="00B61EE7"/>
    <w:rsid w:val="00B66B9D"/>
    <w:rsid w:val="00B816A4"/>
    <w:rsid w:val="00B82AE2"/>
    <w:rsid w:val="00BA083C"/>
    <w:rsid w:val="00BA5061"/>
    <w:rsid w:val="00BB02E1"/>
    <w:rsid w:val="00BB28F8"/>
    <w:rsid w:val="00BB684D"/>
    <w:rsid w:val="00BF05A1"/>
    <w:rsid w:val="00BF6BCC"/>
    <w:rsid w:val="00C04BE7"/>
    <w:rsid w:val="00C23868"/>
    <w:rsid w:val="00C26562"/>
    <w:rsid w:val="00C70190"/>
    <w:rsid w:val="00C751BF"/>
    <w:rsid w:val="00C86E51"/>
    <w:rsid w:val="00C90453"/>
    <w:rsid w:val="00CB0188"/>
    <w:rsid w:val="00CB7EC1"/>
    <w:rsid w:val="00CC17DA"/>
    <w:rsid w:val="00CE778D"/>
    <w:rsid w:val="00D07840"/>
    <w:rsid w:val="00D2155F"/>
    <w:rsid w:val="00D453A1"/>
    <w:rsid w:val="00D73E4A"/>
    <w:rsid w:val="00D80630"/>
    <w:rsid w:val="00DC051C"/>
    <w:rsid w:val="00E01B1C"/>
    <w:rsid w:val="00E02403"/>
    <w:rsid w:val="00E07D35"/>
    <w:rsid w:val="00E239F1"/>
    <w:rsid w:val="00E459FA"/>
    <w:rsid w:val="00E473EC"/>
    <w:rsid w:val="00E476E1"/>
    <w:rsid w:val="00E51C88"/>
    <w:rsid w:val="00E82EF2"/>
    <w:rsid w:val="00EA4232"/>
    <w:rsid w:val="00EB7F71"/>
    <w:rsid w:val="00EF0F7F"/>
    <w:rsid w:val="00F050C4"/>
    <w:rsid w:val="00F3372C"/>
    <w:rsid w:val="00F448F6"/>
    <w:rsid w:val="00F45995"/>
    <w:rsid w:val="00F50403"/>
    <w:rsid w:val="00F54070"/>
    <w:rsid w:val="00F560D9"/>
    <w:rsid w:val="00F7298C"/>
    <w:rsid w:val="00F72E68"/>
    <w:rsid w:val="00F8709B"/>
    <w:rsid w:val="00F9151E"/>
    <w:rsid w:val="00F953BD"/>
    <w:rsid w:val="00FB3BEE"/>
    <w:rsid w:val="00FB437D"/>
    <w:rsid w:val="00FC0412"/>
    <w:rsid w:val="00FC31E4"/>
    <w:rsid w:val="00FE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hapeDefaults>
    <o:shapedefaults v:ext="edit" spidmax="9217"/>
    <o:shapelayout v:ext="edit">
      <o:idmap v:ext="edit" data="1"/>
    </o:shapelayout>
  </w:shapeDefaults>
  <w:decimalSymbol w:val="."/>
  <w:listSeparator w:val=","/>
  <w14:docId w14:val="4305F0AA"/>
  <w15:chartTrackingRefBased/>
  <w15:docId w15:val="{0155FB4B-2C32-4607-8586-90C875AF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textAlignment w:val="baseline"/>
    </w:pPr>
    <w:rPr>
      <w:sz w:val="24"/>
    </w:rPr>
  </w:style>
  <w:style w:type="paragraph" w:styleId="Heading1">
    <w:name w:val="heading 1"/>
    <w:basedOn w:val="Normal"/>
    <w:next w:val="Normal"/>
    <w:qFormat/>
    <w:pPr>
      <w:keepNext/>
      <w:tabs>
        <w:tab w:val="left" w:pos="950"/>
      </w:tabs>
      <w:spacing w:before="180"/>
      <w:ind w:left="950" w:hanging="950"/>
      <w:outlineLvl w:val="0"/>
    </w:pPr>
    <w:rPr>
      <w:b/>
      <w:sz w:val="32"/>
    </w:rPr>
  </w:style>
  <w:style w:type="paragraph" w:styleId="Heading2">
    <w:name w:val="heading 2"/>
    <w:basedOn w:val="Heading1"/>
    <w:next w:val="Normal"/>
    <w:qFormat/>
    <w:pPr>
      <w:spacing w:before="160" w:after="100"/>
      <w:outlineLvl w:val="1"/>
    </w:pPr>
    <w:rPr>
      <w:sz w:val="30"/>
    </w:rPr>
  </w:style>
  <w:style w:type="paragraph" w:styleId="Heading3">
    <w:name w:val="heading 3"/>
    <w:basedOn w:val="Normal"/>
    <w:next w:val="Normal"/>
    <w:qFormat/>
    <w:pPr>
      <w:keepNext/>
      <w:tabs>
        <w:tab w:val="left" w:pos="950"/>
      </w:tabs>
      <w:spacing w:before="140" w:after="80"/>
      <w:ind w:left="950" w:hanging="950"/>
      <w:outlineLvl w:val="2"/>
    </w:pPr>
    <w:rPr>
      <w:b/>
      <w:sz w:val="26"/>
    </w:rPr>
  </w:style>
  <w:style w:type="paragraph" w:styleId="Heading4">
    <w:name w:val="heading 4"/>
    <w:basedOn w:val="Normal"/>
    <w:next w:val="Normal"/>
    <w:qFormat/>
    <w:pPr>
      <w:keepNext/>
      <w:tabs>
        <w:tab w:val="left" w:pos="950"/>
      </w:tabs>
      <w:spacing w:before="140" w:after="60"/>
      <w:ind w:left="950" w:hanging="950"/>
      <w:outlineLvl w:val="3"/>
    </w:pPr>
    <w:rPr>
      <w:b/>
      <w:bCs/>
      <w:szCs w:val="28"/>
    </w:rPr>
  </w:style>
  <w:style w:type="paragraph" w:styleId="Heading5">
    <w:name w:val="heading 5"/>
    <w:basedOn w:val="Normal"/>
    <w:next w:val="Normal"/>
    <w:qFormat/>
    <w:pPr>
      <w:spacing w:before="120" w:after="40"/>
      <w:outlineLvl w:val="4"/>
    </w:pPr>
    <w:rPr>
      <w:b/>
      <w:bCs/>
      <w:iCs/>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tyle>
  <w:style w:type="paragraph" w:customStyle="1" w:styleId="listnum">
    <w:name w:val="list:num"/>
    <w:basedOn w:val="Normal"/>
    <w:semiHidden/>
    <w:pPr>
      <w:ind w:left="432" w:hanging="432"/>
    </w:pPr>
    <w:rPr>
      <w:lang w:val="en-GB"/>
    </w:rPr>
  </w:style>
  <w:style w:type="paragraph" w:customStyle="1" w:styleId="listalpha">
    <w:name w:val="list:alpha"/>
    <w:basedOn w:val="Normal"/>
    <w:semiHidden/>
    <w:pPr>
      <w:ind w:left="432" w:hanging="432"/>
    </w:pPr>
    <w:rPr>
      <w:lang w:val="en-GB"/>
    </w:rPr>
  </w:style>
  <w:style w:type="paragraph" w:customStyle="1" w:styleId="BodyText22">
    <w:name w:val="Body Text 22"/>
    <w:basedOn w:val="Normal"/>
    <w:pPr>
      <w:widowControl/>
      <w:tabs>
        <w:tab w:val="left" w:pos="720"/>
      </w:tabs>
      <w:ind w:left="720" w:hanging="720"/>
    </w:pPr>
    <w:rPr>
      <w:rFonts w:ascii="CG Times" w:hAnsi="CG Times"/>
    </w:rPr>
  </w:style>
  <w:style w:type="paragraph" w:styleId="PlainText">
    <w:name w:val="Plain Text"/>
    <w:basedOn w:val="Normal"/>
    <w:rPr>
      <w:rFonts w:ascii="Courier New" w:hAnsi="Courier New" w:cs="Courier New"/>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BodyText21">
    <w:name w:val="Body Text 21"/>
    <w:basedOn w:val="Normal"/>
    <w:rPr>
      <w:rFonts w:ascii="Times" w:hAnsi="Times"/>
      <w:b/>
    </w:rPr>
  </w:style>
  <w:style w:type="paragraph" w:styleId="BodyText3">
    <w:name w:val="Body Text 3"/>
    <w:basedOn w:val="Normal"/>
    <w:rPr>
      <w:sz w:val="16"/>
      <w:szCs w:val="16"/>
    </w:rPr>
  </w:style>
  <w:style w:type="paragraph" w:styleId="TOC2">
    <w:name w:val="toc 2"/>
    <w:basedOn w:val="Normal"/>
    <w:semiHidden/>
    <w:pPr>
      <w:spacing w:before="120"/>
      <w:ind w:left="240"/>
    </w:pPr>
    <w:rPr>
      <w:i/>
      <w:iCs/>
      <w:szCs w:val="24"/>
    </w:rPr>
  </w:style>
  <w:style w:type="paragraph" w:styleId="TOC1">
    <w:name w:val="toc 1"/>
    <w:basedOn w:val="Normal"/>
    <w:next w:val="Normal"/>
    <w:semiHidden/>
    <w:pPr>
      <w:spacing w:before="240"/>
    </w:pPr>
    <w:rPr>
      <w:b/>
      <w:bCs/>
      <w:szCs w:val="24"/>
    </w:rPr>
  </w:style>
  <w:style w:type="paragraph" w:styleId="TOC4">
    <w:name w:val="toc 4"/>
    <w:basedOn w:val="Normal"/>
    <w:next w:val="Normal"/>
    <w:semiHidden/>
    <w:pPr>
      <w:ind w:left="720"/>
    </w:pPr>
    <w:rPr>
      <w:szCs w:val="24"/>
    </w:rPr>
  </w:style>
  <w:style w:type="paragraph" w:styleId="TOC3">
    <w:name w:val="toc 3"/>
    <w:basedOn w:val="Normal"/>
    <w:next w:val="Normal"/>
    <w:semiHidden/>
    <w:pPr>
      <w:ind w:left="480"/>
    </w:pPr>
    <w:rPr>
      <w:szCs w:val="24"/>
    </w:rPr>
  </w:style>
  <w:style w:type="paragraph" w:styleId="TOC5">
    <w:name w:val="toc 5"/>
    <w:basedOn w:val="Normal"/>
    <w:next w:val="Normal"/>
    <w:semiHidden/>
    <w:pPr>
      <w:ind w:left="960"/>
    </w:pPr>
    <w:rPr>
      <w:szCs w:val="24"/>
    </w:rPr>
  </w:style>
  <w:style w:type="paragraph" w:styleId="TOC6">
    <w:name w:val="toc 6"/>
    <w:basedOn w:val="Normal"/>
    <w:next w:val="Normal"/>
    <w:semiHidden/>
    <w:pPr>
      <w:ind w:left="1200"/>
    </w:pPr>
    <w:rPr>
      <w:szCs w:val="24"/>
    </w:rPr>
  </w:style>
  <w:style w:type="paragraph" w:styleId="TOC7">
    <w:name w:val="toc 7"/>
    <w:basedOn w:val="Normal"/>
    <w:next w:val="Normal"/>
    <w:semiHidden/>
    <w:pPr>
      <w:ind w:left="1440"/>
    </w:pPr>
    <w:rPr>
      <w:szCs w:val="24"/>
    </w:rPr>
  </w:style>
  <w:style w:type="paragraph" w:styleId="TOC8">
    <w:name w:val="toc 8"/>
    <w:basedOn w:val="Normal"/>
    <w:next w:val="Normal"/>
    <w:semiHidden/>
    <w:pPr>
      <w:ind w:left="1680"/>
    </w:pPr>
    <w:rPr>
      <w:szCs w:val="24"/>
    </w:rPr>
  </w:style>
  <w:style w:type="paragraph" w:styleId="TOC9">
    <w:name w:val="toc 9"/>
    <w:basedOn w:val="Normal"/>
    <w:next w:val="Normal"/>
    <w:semiHidden/>
    <w:pPr>
      <w:ind w:left="1920"/>
    </w:pPr>
    <w:rPr>
      <w:szCs w:val="24"/>
    </w:rPr>
  </w:style>
  <w:style w:type="paragraph" w:styleId="Caption">
    <w:name w:val="caption"/>
    <w:basedOn w:val="Normal"/>
    <w:next w:val="Normal"/>
    <w:qFormat/>
    <w:rPr>
      <w:b/>
    </w:rPr>
  </w:style>
  <w:style w:type="paragraph" w:styleId="BodyText2">
    <w:name w:val="Body Text 2"/>
    <w:basedOn w:val="Normal"/>
    <w:pPr>
      <w:spacing w:line="480" w:lineRule="auto"/>
    </w:pPr>
  </w:style>
  <w:style w:type="paragraph" w:styleId="BodyTextIndent2">
    <w:name w:val="Body Text Indent 2"/>
    <w:basedOn w:val="Normal"/>
    <w:pPr>
      <w:spacing w:line="480" w:lineRule="auto"/>
      <w:ind w:left="360"/>
    </w:pPr>
  </w:style>
  <w:style w:type="character" w:styleId="Hyperlink">
    <w:name w:val="Hyperlink"/>
    <w:rPr>
      <w:color w:val="0000FF"/>
      <w:u w:val="single"/>
    </w:rPr>
  </w:style>
  <w:style w:type="paragraph" w:customStyle="1" w:styleId="Style1">
    <w:name w:val="Style1"/>
    <w:basedOn w:val="Heading2"/>
    <w:semiHidden/>
    <w:pPr>
      <w:outlineLvl w:val="9"/>
    </w:pPr>
  </w:style>
  <w:style w:type="paragraph" w:customStyle="1" w:styleId="Qs1">
    <w:name w:val="Qs1"/>
    <w:basedOn w:val="Normal"/>
    <w:semiHidden/>
    <w:pPr>
      <w:tabs>
        <w:tab w:val="left" w:pos="360"/>
      </w:tabs>
    </w:pPr>
  </w:style>
  <w:style w:type="paragraph" w:customStyle="1" w:styleId="Style2">
    <w:name w:val="Style2"/>
    <w:basedOn w:val="Normal"/>
    <w:semiHidden/>
    <w:pPr>
      <w:widowControl/>
      <w:numPr>
        <w:numId w:val="1"/>
      </w:numPr>
      <w:overflowPunct/>
      <w:autoSpaceDE/>
      <w:autoSpaceDN/>
      <w:adjustRightInd/>
      <w:textAlignment w:val="auto"/>
    </w:pPr>
    <w:rPr>
      <w:rFonts w:ascii="New York" w:hAnsi="New York"/>
    </w:rPr>
  </w:style>
  <w:style w:type="paragraph" w:styleId="FootnoteText">
    <w:name w:val="footnote text"/>
    <w:basedOn w:val="Normal"/>
    <w:link w:val="FootnoteTextChar"/>
    <w:semiHidden/>
    <w:pPr>
      <w:widowControl/>
    </w:pPr>
    <w:rPr>
      <w:sz w:val="20"/>
    </w:rPr>
  </w:style>
  <w:style w:type="paragraph" w:styleId="Title">
    <w:name w:val="Title"/>
    <w:basedOn w:val="Normal"/>
    <w:qFormat/>
    <w:pPr>
      <w:spacing w:before="240" w:after="180"/>
      <w:outlineLvl w:val="0"/>
    </w:pPr>
    <w:rPr>
      <w:rFonts w:ascii="Arial" w:hAnsi="Arial" w:cs="Arial"/>
      <w:b/>
      <w:bCs/>
      <w:kern w:val="28"/>
      <w:sz w:val="36"/>
      <w:szCs w:val="32"/>
    </w:rPr>
  </w:style>
  <w:style w:type="paragraph" w:styleId="BodyTextIndent3">
    <w:name w:val="Body Text Indent 3"/>
    <w:basedOn w:val="Normal"/>
    <w:pPr>
      <w:ind w:left="360"/>
    </w:pPr>
    <w:rPr>
      <w:sz w:val="16"/>
      <w:szCs w:val="16"/>
    </w:rPr>
  </w:style>
  <w:style w:type="paragraph" w:styleId="BodyTextIndent">
    <w:name w:val="Body Text Indent"/>
    <w:basedOn w:val="Normal"/>
    <w:pPr>
      <w:ind w:left="360"/>
    </w:p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szCs w:val="24"/>
    </w:rPr>
  </w:style>
  <w:style w:type="paragraph" w:customStyle="1" w:styleId="subsub">
    <w:name w:val="subsub"/>
    <w:basedOn w:val="subsectionheading"/>
    <w:semiHidden/>
    <w:rPr>
      <w:sz w:val="32"/>
    </w:rPr>
  </w:style>
  <w:style w:type="paragraph" w:customStyle="1" w:styleId="subsectionheading">
    <w:name w:val="subsection heading"/>
    <w:basedOn w:val="Normal"/>
    <w:semiHidden/>
    <w:pPr>
      <w:tabs>
        <w:tab w:val="decimal" w:pos="360"/>
      </w:tabs>
      <w:overflowPunct/>
      <w:ind w:left="630" w:hanging="630"/>
      <w:jc w:val="center"/>
      <w:textAlignment w:val="auto"/>
    </w:pPr>
    <w:rPr>
      <w:b/>
      <w:bCs/>
      <w:sz w:val="36"/>
      <w:szCs w:val="24"/>
    </w:rPr>
  </w:style>
  <w:style w:type="paragraph" w:customStyle="1" w:styleId="Romanbold">
    <w:name w:val="Roman bold"/>
    <w:basedOn w:val="Normal"/>
    <w:semiHidden/>
    <w:pPr>
      <w:tabs>
        <w:tab w:val="right" w:pos="450"/>
      </w:tabs>
      <w:overflowPunct/>
      <w:ind w:left="630" w:hanging="630"/>
      <w:textAlignment w:val="auto"/>
    </w:pPr>
    <w:rPr>
      <w:b/>
      <w:bCs/>
      <w:caps/>
      <w:szCs w:val="24"/>
    </w:rPr>
  </w:style>
  <w:style w:type="paragraph" w:customStyle="1" w:styleId="Number1">
    <w:name w:val="Number1"/>
    <w:basedOn w:val="Normal"/>
    <w:semiHidden/>
    <w:pPr>
      <w:tabs>
        <w:tab w:val="right" w:pos="810"/>
      </w:tabs>
      <w:overflowPunct/>
      <w:ind w:left="990" w:hanging="990"/>
      <w:textAlignment w:val="auto"/>
    </w:pPr>
    <w:rPr>
      <w:szCs w:val="24"/>
    </w:rPr>
  </w:style>
  <w:style w:type="paragraph" w:customStyle="1" w:styleId="Number1bodybullet">
    <w:name w:val="Number1 body bullet"/>
    <w:basedOn w:val="Normal"/>
    <w:semiHidden/>
    <w:pPr>
      <w:overflowPunct/>
      <w:ind w:left="1260" w:hanging="270"/>
      <w:textAlignment w:val="auto"/>
    </w:pPr>
    <w:rPr>
      <w:szCs w:val="24"/>
    </w:rPr>
  </w:style>
  <w:style w:type="paragraph" w:customStyle="1" w:styleId="Number11">
    <w:name w:val="Number1.1"/>
    <w:basedOn w:val="Number1body"/>
    <w:semiHidden/>
    <w:pPr>
      <w:tabs>
        <w:tab w:val="right" w:pos="1260"/>
      </w:tabs>
      <w:ind w:left="1440" w:hanging="1440"/>
    </w:pPr>
  </w:style>
  <w:style w:type="paragraph" w:customStyle="1" w:styleId="Number1body">
    <w:name w:val="Number1 body"/>
    <w:basedOn w:val="Normal"/>
    <w:semiHidden/>
    <w:pPr>
      <w:numPr>
        <w:ilvl w:val="12"/>
      </w:numPr>
      <w:overflowPunct/>
      <w:ind w:left="990"/>
      <w:textAlignment w:val="auto"/>
    </w:pPr>
    <w:rPr>
      <w:szCs w:val="24"/>
    </w:rPr>
  </w:style>
  <w:style w:type="paragraph" w:customStyle="1" w:styleId="Number11bodybullet">
    <w:name w:val="Number 1.1 body bullet"/>
    <w:basedOn w:val="Number11body"/>
    <w:semiHidden/>
    <w:pPr>
      <w:tabs>
        <w:tab w:val="right" w:pos="1530"/>
      </w:tabs>
      <w:ind w:left="1710" w:hanging="1710"/>
    </w:pPr>
  </w:style>
  <w:style w:type="paragraph" w:customStyle="1" w:styleId="Number11body">
    <w:name w:val="Number1.1 body"/>
    <w:basedOn w:val="Number11"/>
    <w:semiHidden/>
    <w:pPr>
      <w:tabs>
        <w:tab w:val="clear" w:pos="1260"/>
      </w:tabs>
      <w:ind w:firstLine="0"/>
    </w:pPr>
  </w:style>
  <w:style w:type="paragraph" w:customStyle="1" w:styleId="Romanbody">
    <w:name w:val="Roman body"/>
    <w:basedOn w:val="Normal"/>
    <w:semiHidden/>
    <w:pPr>
      <w:overflowPunct/>
      <w:ind w:left="630"/>
      <w:textAlignment w:val="auto"/>
    </w:pPr>
    <w:rPr>
      <w:szCs w:val="24"/>
    </w:rPr>
  </w:style>
  <w:style w:type="paragraph" w:customStyle="1" w:styleId="Romanbodybullet">
    <w:name w:val="Roman body bullet"/>
    <w:basedOn w:val="Normal"/>
    <w:semiHidden/>
    <w:pPr>
      <w:overflowPunct/>
      <w:ind w:left="900" w:hanging="270"/>
      <w:textAlignment w:val="auto"/>
    </w:pPr>
    <w:rPr>
      <w:szCs w:val="24"/>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4"/>
    </w:rPr>
  </w:style>
  <w:style w:type="paragraph" w:customStyle="1" w:styleId="WPDefaultsLocal">
    <w:name w:val="WP Defaults (Local)"/>
    <w:basedOn w:val="WPDefaults"/>
  </w:style>
  <w:style w:type="paragraph" w:customStyle="1" w:styleId="NOMRAL">
    <w:name w:val="NOMRAL"/>
    <w:basedOn w:val="BodyText"/>
    <w:semiHidden/>
  </w:style>
  <w:style w:type="paragraph" w:customStyle="1" w:styleId="1">
    <w:name w:val="1."/>
    <w:basedOn w:val="Normal"/>
    <w:semiHidden/>
    <w:pPr>
      <w:tabs>
        <w:tab w:val="left" w:pos="360"/>
      </w:tabs>
      <w:overflowPunct/>
      <w:spacing w:before="240" w:after="240"/>
      <w:ind w:left="360" w:hanging="360"/>
      <w:textAlignment w:val="auto"/>
    </w:pPr>
    <w:rPr>
      <w:rFonts w:ascii="Comic Sans MS" w:hAnsi="Comic Sans MS"/>
      <w:b/>
      <w:sz w:val="22"/>
      <w:szCs w:val="24"/>
    </w:rPr>
  </w:style>
  <w:style w:type="paragraph" w:customStyle="1" w:styleId="1body">
    <w:name w:val="1.body"/>
    <w:basedOn w:val="1"/>
    <w:semiHidden/>
    <w:pPr>
      <w:tabs>
        <w:tab w:val="clear" w:pos="360"/>
      </w:tabs>
      <w:ind w:firstLine="0"/>
    </w:pPr>
    <w:rPr>
      <w:b w:val="0"/>
      <w:bCs/>
      <w:sz w:val="20"/>
    </w:rPr>
  </w:style>
  <w:style w:type="paragraph" w:customStyle="1" w:styleId="11">
    <w:name w:val="1.1"/>
    <w:basedOn w:val="Normal"/>
    <w:semiHidden/>
    <w:pPr>
      <w:overflowPunct/>
      <w:spacing w:before="240" w:after="240"/>
      <w:ind w:left="900" w:hanging="540"/>
      <w:textAlignment w:val="auto"/>
    </w:pPr>
    <w:rPr>
      <w:rFonts w:ascii="Comic Sans MS" w:hAnsi="Comic Sans MS"/>
      <w:sz w:val="20"/>
      <w:szCs w:val="24"/>
    </w:rPr>
  </w:style>
  <w:style w:type="paragraph" w:customStyle="1" w:styleId="111">
    <w:name w:val="1.1.1"/>
    <w:basedOn w:val="11body"/>
    <w:semiHidden/>
    <w:pPr>
      <w:tabs>
        <w:tab w:val="clear" w:pos="360"/>
        <w:tab w:val="left" w:pos="1080"/>
      </w:tabs>
      <w:spacing w:before="180"/>
      <w:ind w:left="1440"/>
    </w:pPr>
    <w:rPr>
      <w:rFonts w:ascii="Times New Roman" w:hAnsi="Times New Roman"/>
      <w:sz w:val="24"/>
    </w:rPr>
  </w:style>
  <w:style w:type="paragraph" w:customStyle="1" w:styleId="11body">
    <w:name w:val="1.1body"/>
    <w:basedOn w:val="11"/>
    <w:semiHidden/>
    <w:pPr>
      <w:tabs>
        <w:tab w:val="left" w:pos="360"/>
      </w:tabs>
      <w:spacing w:after="180"/>
      <w:ind w:left="1080" w:hanging="360"/>
    </w:pPr>
  </w:style>
  <w:style w:type="paragraph" w:customStyle="1" w:styleId="NIOT">
    <w:name w:val="NIOT"/>
    <w:basedOn w:val="Heading1"/>
    <w:semiHidden/>
    <w:pPr>
      <w:widowControl/>
      <w:overflowPunct/>
      <w:autoSpaceDE/>
      <w:autoSpaceDN/>
      <w:adjustRightInd/>
      <w:spacing w:after="0"/>
      <w:ind w:left="1296"/>
      <w:textAlignment w:val="auto"/>
    </w:pPr>
    <w:rPr>
      <w:rFonts w:ascii="Courier New" w:hAnsi="Courier New"/>
      <w:b w:val="0"/>
      <w:sz w:val="20"/>
      <w:szCs w:val="24"/>
      <w:u w:val="single"/>
    </w:rPr>
  </w:style>
  <w:style w:type="character" w:styleId="FollowedHyperlink">
    <w:name w:val="FollowedHyperlink"/>
    <w:rPr>
      <w:color w:val="800080"/>
      <w:u w:val="single"/>
    </w:rPr>
  </w:style>
  <w:style w:type="paragraph" w:customStyle="1" w:styleId="Style3">
    <w:name w:val="Style3"/>
    <w:basedOn w:val="Normal"/>
    <w:semiHidden/>
    <w:rPr>
      <w:bCs/>
    </w:rPr>
  </w:style>
  <w:style w:type="paragraph" w:styleId="BlockText">
    <w:name w:val="Block Text"/>
    <w:basedOn w:val="Normal"/>
    <w:pPr>
      <w:ind w:left="1440" w:right="1440"/>
    </w:pPr>
  </w:style>
  <w:style w:type="paragraph" w:styleId="BalloonText">
    <w:name w:val="Balloon Text"/>
    <w:basedOn w:val="Normal"/>
    <w:semiHidden/>
    <w:rPr>
      <w:rFonts w:ascii="Tahoma" w:hAnsi="Tahoma" w:cs="Tahoma"/>
      <w:sz w:val="16"/>
      <w:szCs w:val="16"/>
    </w:rPr>
  </w:style>
  <w:style w:type="paragraph" w:customStyle="1" w:styleId="Bullet1">
    <w:name w:val="Bullet 1"/>
    <w:basedOn w:val="GrafFlushLeft"/>
    <w:pPr>
      <w:numPr>
        <w:numId w:val="13"/>
      </w:numPr>
      <w:tabs>
        <w:tab w:val="clear" w:pos="288"/>
        <w:tab w:val="num" w:pos="630"/>
      </w:tabs>
    </w:pPr>
  </w:style>
  <w:style w:type="paragraph" w:customStyle="1" w:styleId="GrafFlushLeft">
    <w:name w:val="Graf Flush Left"/>
    <w:basedOn w:val="Normal"/>
  </w:style>
  <w:style w:type="character" w:customStyle="1" w:styleId="Heading3Char">
    <w:name w:val="Heading 3 Char"/>
    <w:rPr>
      <w:b/>
      <w:sz w:val="26"/>
      <w:lang w:val="en-US" w:eastAsia="en-US" w:bidi="ar-SA"/>
    </w:rPr>
  </w:style>
  <w:style w:type="character" w:customStyle="1" w:styleId="Heading1Char">
    <w:name w:val="Heading 1 Char"/>
    <w:rPr>
      <w:b/>
      <w:sz w:val="32"/>
      <w:lang w:val="en-US" w:eastAsia="en-US" w:bidi="ar-SA"/>
    </w:rPr>
  </w:style>
  <w:style w:type="character" w:customStyle="1" w:styleId="Heading2Char">
    <w:name w:val="Heading 2 Char"/>
    <w:rPr>
      <w:b/>
      <w:sz w:val="30"/>
      <w:lang w:val="en-US" w:eastAsia="en-US" w:bidi="ar-SA"/>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customStyle="1" w:styleId="StyleBodyTextItalic">
    <w:name w:val="Style Body Text + Italic"/>
    <w:basedOn w:val="BodyText"/>
    <w:semiHidden/>
    <w:rPr>
      <w:iCs/>
    </w:rPr>
  </w:style>
  <w:style w:type="character" w:customStyle="1" w:styleId="BodyTextChar">
    <w:name w:val="Body Text Char"/>
    <w:rPr>
      <w:sz w:val="24"/>
      <w:lang w:val="en-US" w:eastAsia="en-US" w:bidi="ar-SA"/>
    </w:rPr>
  </w:style>
  <w:style w:type="character" w:customStyle="1" w:styleId="StyleBodyTextItalicChar">
    <w:name w:val="Style Body Text + Italic Char"/>
    <w:rPr>
      <w:iCs/>
      <w:sz w:val="24"/>
      <w:lang w:val="en-US" w:eastAsia="en-US" w:bidi="ar-SA"/>
    </w:rPr>
  </w:style>
  <w:style w:type="character" w:customStyle="1" w:styleId="Heading5Char">
    <w:name w:val="Heading 5 Char"/>
    <w:rPr>
      <w:b/>
      <w:bCs/>
      <w:iCs/>
      <w:sz w:val="24"/>
      <w:szCs w:val="26"/>
      <w:lang w:val="en-US" w:eastAsia="en-US" w:bidi="ar-SA"/>
    </w:rPr>
  </w:style>
  <w:style w:type="paragraph" w:customStyle="1" w:styleId="BulletQuestion">
    <w:name w:val="Bullet Question"/>
    <w:basedOn w:val="Bullet1"/>
    <w:rPr>
      <w:b/>
    </w:rPr>
  </w:style>
  <w:style w:type="table" w:styleId="TableGrid">
    <w:name w:val="Table Grid"/>
    <w:basedOn w:val="TableNormal"/>
    <w:rsid w:val="0055618E"/>
    <w:pPr>
      <w:widowControl w:val="0"/>
      <w:overflowPunct w:val="0"/>
      <w:autoSpaceDE w:val="0"/>
      <w:autoSpaceDN w:val="0"/>
      <w:adjustRightInd w:val="0"/>
      <w:spacing w:after="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AAB"/>
    <w:pPr>
      <w:widowControl w:val="0"/>
      <w:overflowPunct w:val="0"/>
      <w:autoSpaceDE w:val="0"/>
      <w:autoSpaceDN w:val="0"/>
      <w:adjustRightInd w:val="0"/>
      <w:textAlignment w:val="baseline"/>
    </w:pPr>
    <w:rPr>
      <w:sz w:val="24"/>
    </w:rPr>
  </w:style>
  <w:style w:type="paragraph" w:styleId="ListParagraph">
    <w:name w:val="List Paragraph"/>
    <w:basedOn w:val="Normal"/>
    <w:uiPriority w:val="34"/>
    <w:qFormat/>
    <w:rsid w:val="00232EEA"/>
    <w:pPr>
      <w:widowControl/>
      <w:overflowPunct/>
      <w:autoSpaceDE/>
      <w:autoSpaceDN/>
      <w:adjustRightInd/>
      <w:spacing w:after="0"/>
      <w:ind w:left="720"/>
      <w:contextualSpacing/>
      <w:textAlignment w:val="auto"/>
    </w:pPr>
    <w:rPr>
      <w:rFonts w:ascii="Calibri" w:eastAsia="Times New Roman" w:hAnsi="Calibri"/>
      <w:szCs w:val="24"/>
    </w:rPr>
  </w:style>
  <w:style w:type="character" w:customStyle="1" w:styleId="FootnoteTextChar">
    <w:name w:val="Footnote Text Char"/>
    <w:link w:val="FootnoteText"/>
    <w:semiHidden/>
    <w:rsid w:val="00B8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Application%20Data\Microsoft\Templates\MESA%20MO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MESA MOO Template.dot</Template>
  <TotalTime>12</TotalTime>
  <Pages>14</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MESA Events Procedures Manual</vt:lpstr>
    </vt:vector>
  </TitlesOfParts>
  <Company>CHS</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Events Procedures Manual</dc:title>
  <dc:subject/>
  <dc:creator>Annette Fitzpatrick</dc:creator>
  <cp:keywords/>
  <cp:lastModifiedBy>Kristina Blank</cp:lastModifiedBy>
  <cp:revision>5</cp:revision>
  <cp:lastPrinted>2005-06-28T22:36:00Z</cp:lastPrinted>
  <dcterms:created xsi:type="dcterms:W3CDTF">2017-05-10T00:39:00Z</dcterms:created>
  <dcterms:modified xsi:type="dcterms:W3CDTF">2017-12-07T18:56:00Z</dcterms:modified>
</cp:coreProperties>
</file>